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6191" w14:textId="77777777" w:rsidR="00EC2067" w:rsidRDefault="00EC2067" w:rsidP="00EC2067">
      <w:pPr>
        <w:widowControl w:val="0"/>
        <w:spacing w:after="0" w:line="240" w:lineRule="auto"/>
        <w:ind w:left="397" w:hanging="397"/>
        <w:jc w:val="left"/>
        <w:rPr>
          <w:rFonts w:ascii="Arial Narrow" w:hAnsi="Arial Narrow" w:cs="Arial"/>
          <w:b/>
          <w:caps/>
          <w:sz w:val="24"/>
          <w:szCs w:val="24"/>
        </w:rPr>
      </w:pPr>
      <w:bookmarkStart w:id="0" w:name="_GoBack"/>
      <w:bookmarkEnd w:id="0"/>
      <w:r w:rsidRPr="008B7FB2">
        <w:rPr>
          <w:rFonts w:ascii="Arial Narrow" w:hAnsi="Arial Narrow" w:cs="Arial"/>
          <w:b/>
          <w:caps/>
          <w:sz w:val="24"/>
          <w:szCs w:val="24"/>
        </w:rPr>
        <w:t xml:space="preserve">El Comité de Normas del Banco Central de Reserva de el salvador, </w:t>
      </w:r>
    </w:p>
    <w:p w14:paraId="25FB6192" w14:textId="77777777" w:rsidR="00EC2067" w:rsidRPr="00B01FB7" w:rsidRDefault="00EC2067" w:rsidP="00EC2067">
      <w:pPr>
        <w:widowControl w:val="0"/>
        <w:spacing w:after="0" w:line="240" w:lineRule="auto"/>
        <w:jc w:val="left"/>
        <w:rPr>
          <w:rFonts w:ascii="Arial Narrow" w:hAnsi="Arial Narrow" w:cs="Arial"/>
          <w:b/>
          <w:caps/>
          <w:sz w:val="24"/>
          <w:szCs w:val="24"/>
        </w:rPr>
      </w:pPr>
    </w:p>
    <w:p w14:paraId="25FB6193" w14:textId="77777777" w:rsidR="00EC2067" w:rsidRPr="00B01FB7" w:rsidRDefault="00EC2067" w:rsidP="00EC2067">
      <w:pPr>
        <w:widowControl w:val="0"/>
        <w:spacing w:after="0" w:line="240" w:lineRule="auto"/>
        <w:ind w:left="397" w:hanging="397"/>
        <w:jc w:val="left"/>
        <w:rPr>
          <w:rFonts w:ascii="Arial Narrow" w:hAnsi="Arial Narrow" w:cs="Arial"/>
          <w:b/>
          <w:caps/>
          <w:sz w:val="24"/>
          <w:szCs w:val="24"/>
        </w:rPr>
      </w:pPr>
      <w:r>
        <w:rPr>
          <w:rFonts w:ascii="Arial Narrow" w:hAnsi="Arial Narrow" w:cs="Arial"/>
          <w:b/>
          <w:caps/>
          <w:sz w:val="24"/>
          <w:szCs w:val="24"/>
        </w:rPr>
        <w:t xml:space="preserve">CONSIDERANDO: </w:t>
      </w:r>
    </w:p>
    <w:p w14:paraId="25FB6194" w14:textId="77777777" w:rsidR="00EC2067" w:rsidRPr="008B7FB2" w:rsidRDefault="00EC2067" w:rsidP="00EC2067">
      <w:pPr>
        <w:pStyle w:val="Prrafodelista"/>
        <w:widowControl w:val="0"/>
        <w:spacing w:after="0" w:line="240" w:lineRule="auto"/>
        <w:ind w:left="425"/>
        <w:rPr>
          <w:rFonts w:ascii="Arial Narrow" w:hAnsi="Arial Narrow"/>
          <w:sz w:val="24"/>
          <w:szCs w:val="24"/>
        </w:rPr>
      </w:pPr>
    </w:p>
    <w:p w14:paraId="25FB6195" w14:textId="77777777" w:rsidR="00BC29D4" w:rsidRPr="001846ED" w:rsidRDefault="00BC29D4" w:rsidP="00BC29D4">
      <w:pPr>
        <w:widowControl w:val="0"/>
        <w:numPr>
          <w:ilvl w:val="0"/>
          <w:numId w:val="2"/>
        </w:numPr>
        <w:spacing w:after="0" w:line="240" w:lineRule="auto"/>
        <w:ind w:left="425" w:hanging="425"/>
        <w:rPr>
          <w:rFonts w:ascii="Arial Narrow" w:hAnsi="Arial Narrow"/>
          <w:sz w:val="24"/>
          <w:szCs w:val="24"/>
        </w:rPr>
      </w:pPr>
      <w:r w:rsidRPr="001846ED">
        <w:rPr>
          <w:rFonts w:ascii="Arial Narrow" w:hAnsi="Arial Narrow"/>
          <w:sz w:val="24"/>
          <w:szCs w:val="24"/>
        </w:rPr>
        <w:t xml:space="preserve">Que mediante Decreto Legislativo No. 927, de fecha 20 de diciembre de 1996, publicado en el Diario Oficial No. 243, Tomo No. 333, del 23 del mismo mes y año, se emitió la Ley del Sistema de Ahorro para Pensiones. </w:t>
      </w:r>
    </w:p>
    <w:p w14:paraId="25FB6196" w14:textId="77777777" w:rsidR="00BC29D4" w:rsidRPr="001846ED" w:rsidRDefault="00BC29D4" w:rsidP="00BC29D4">
      <w:pPr>
        <w:widowControl w:val="0"/>
        <w:spacing w:after="0" w:line="240" w:lineRule="auto"/>
        <w:ind w:left="425" w:hanging="425"/>
        <w:rPr>
          <w:rFonts w:ascii="Arial Narrow" w:hAnsi="Arial Narrow"/>
          <w:sz w:val="24"/>
          <w:szCs w:val="24"/>
        </w:rPr>
      </w:pPr>
    </w:p>
    <w:p w14:paraId="25FB6197" w14:textId="77777777" w:rsidR="00BC29D4" w:rsidRPr="001846ED" w:rsidRDefault="00BC29D4" w:rsidP="00BC29D4">
      <w:pPr>
        <w:widowControl w:val="0"/>
        <w:numPr>
          <w:ilvl w:val="0"/>
          <w:numId w:val="2"/>
        </w:numPr>
        <w:spacing w:after="0" w:line="240" w:lineRule="auto"/>
        <w:ind w:left="425" w:hanging="425"/>
        <w:rPr>
          <w:rFonts w:ascii="Arial Narrow" w:hAnsi="Arial Narrow"/>
          <w:sz w:val="24"/>
          <w:szCs w:val="24"/>
        </w:rPr>
      </w:pPr>
      <w:r w:rsidRPr="001846ED">
        <w:rPr>
          <w:rFonts w:ascii="Arial Narrow" w:hAnsi="Arial Narrow"/>
          <w:sz w:val="24"/>
          <w:szCs w:val="24"/>
        </w:rPr>
        <w:t xml:space="preserve">Que mediante Decreto Legislativo No. 787, de fecha 28 de septiembre de 2017, publicado en Diario Oficial No. 180, Tomo No. 416 de la misma fecha, se aprobó la Reforma a la Ley del Sistema de Ahorro para Pensiones. </w:t>
      </w:r>
    </w:p>
    <w:p w14:paraId="25FB6198" w14:textId="77777777" w:rsidR="00BC29D4" w:rsidRPr="001846ED" w:rsidRDefault="00BC29D4" w:rsidP="00BC29D4">
      <w:pPr>
        <w:widowControl w:val="0"/>
        <w:spacing w:after="0" w:line="240" w:lineRule="auto"/>
        <w:ind w:left="425" w:hanging="425"/>
        <w:rPr>
          <w:rFonts w:ascii="Arial Narrow" w:hAnsi="Arial Narrow"/>
          <w:sz w:val="24"/>
          <w:szCs w:val="24"/>
        </w:rPr>
      </w:pPr>
    </w:p>
    <w:p w14:paraId="25FB6199" w14:textId="77777777" w:rsidR="00BC29D4" w:rsidRPr="001846ED" w:rsidRDefault="00BC29D4" w:rsidP="00BC29D4">
      <w:pPr>
        <w:widowControl w:val="0"/>
        <w:numPr>
          <w:ilvl w:val="0"/>
          <w:numId w:val="2"/>
        </w:numPr>
        <w:spacing w:after="0" w:line="240" w:lineRule="auto"/>
        <w:ind w:left="425" w:hanging="425"/>
        <w:rPr>
          <w:rFonts w:ascii="Arial Narrow" w:hAnsi="Arial Narrow"/>
          <w:sz w:val="24"/>
          <w:szCs w:val="24"/>
        </w:rPr>
      </w:pPr>
      <w:r w:rsidRPr="001846ED">
        <w:rPr>
          <w:rFonts w:ascii="Arial Narrow" w:hAnsi="Arial Narrow"/>
          <w:sz w:val="24"/>
          <w:szCs w:val="24"/>
        </w:rPr>
        <w:t xml:space="preserve">Que el artículo 2 de la Ley del Sistema de Ahorro de Pensiones establece que el Sistema tendrá como característica que sus afiliados tendrán derecho al otorgamiento y pago de pensiones </w:t>
      </w:r>
      <w:r>
        <w:rPr>
          <w:rFonts w:ascii="Arial Narrow" w:hAnsi="Arial Narrow"/>
          <w:sz w:val="24"/>
          <w:szCs w:val="24"/>
        </w:rPr>
        <w:t>que se determinen</w:t>
      </w:r>
      <w:r w:rsidRPr="001846ED">
        <w:rPr>
          <w:rFonts w:ascii="Arial Narrow" w:hAnsi="Arial Narrow"/>
          <w:sz w:val="24"/>
          <w:szCs w:val="24"/>
        </w:rPr>
        <w:t xml:space="preserve"> en la Ley antes mencionada</w:t>
      </w:r>
      <w:r>
        <w:rPr>
          <w:rFonts w:ascii="Arial Narrow" w:hAnsi="Arial Narrow"/>
          <w:sz w:val="24"/>
          <w:szCs w:val="24"/>
        </w:rPr>
        <w:t>, que las cuentas individuales de ahorro para pensiones serán administradas por las Instituciones Administradoras de Fondos de Pensiones, así como que los afiliados podrán trasladarse entre las Instituciones Administradoras</w:t>
      </w:r>
      <w:r w:rsidR="0059628D">
        <w:rPr>
          <w:rFonts w:ascii="Arial Narrow" w:hAnsi="Arial Narrow"/>
          <w:sz w:val="24"/>
          <w:szCs w:val="24"/>
        </w:rPr>
        <w:t>.</w:t>
      </w:r>
      <w:r>
        <w:rPr>
          <w:rFonts w:ascii="Arial Narrow" w:hAnsi="Arial Narrow"/>
          <w:sz w:val="24"/>
          <w:szCs w:val="24"/>
        </w:rPr>
        <w:t xml:space="preserve"> </w:t>
      </w:r>
    </w:p>
    <w:p w14:paraId="25FB619A" w14:textId="77777777" w:rsidR="00EC2067" w:rsidRPr="00C95475" w:rsidRDefault="00EC2067" w:rsidP="00EC2067">
      <w:pPr>
        <w:pStyle w:val="Prrafodelista"/>
        <w:widowControl w:val="0"/>
        <w:spacing w:after="0" w:line="240" w:lineRule="auto"/>
        <w:ind w:left="425" w:hanging="425"/>
        <w:rPr>
          <w:rFonts w:ascii="Arial Narrow" w:hAnsi="Arial Narrow"/>
          <w:color w:val="FF0000"/>
          <w:sz w:val="24"/>
          <w:szCs w:val="24"/>
        </w:rPr>
      </w:pPr>
    </w:p>
    <w:p w14:paraId="25FB619B" w14:textId="77777777" w:rsidR="00EC2067" w:rsidRDefault="00EC2067" w:rsidP="00EC2067">
      <w:pPr>
        <w:pStyle w:val="Prrafodelista"/>
        <w:widowControl w:val="0"/>
        <w:numPr>
          <w:ilvl w:val="0"/>
          <w:numId w:val="2"/>
        </w:numPr>
        <w:spacing w:after="0" w:line="240" w:lineRule="auto"/>
        <w:ind w:left="425" w:hanging="425"/>
        <w:rPr>
          <w:rFonts w:ascii="Arial Narrow" w:hAnsi="Arial Narrow"/>
          <w:sz w:val="24"/>
          <w:szCs w:val="24"/>
        </w:rPr>
      </w:pPr>
      <w:r w:rsidRPr="0027496D">
        <w:rPr>
          <w:rFonts w:ascii="Arial Narrow" w:hAnsi="Arial Narrow"/>
          <w:sz w:val="24"/>
          <w:szCs w:val="24"/>
        </w:rPr>
        <w:t xml:space="preserve">Que el artículo 87 de la Reforma a la Ley del Sistema de Ahorro para Pensiones </w:t>
      </w:r>
      <w:r>
        <w:rPr>
          <w:rFonts w:ascii="Arial Narrow" w:hAnsi="Arial Narrow"/>
          <w:sz w:val="24"/>
          <w:szCs w:val="24"/>
        </w:rPr>
        <w:t xml:space="preserve">del Decreto Legislativo No. 787, </w:t>
      </w:r>
      <w:r w:rsidRPr="0027496D">
        <w:rPr>
          <w:rFonts w:ascii="Arial Narrow" w:hAnsi="Arial Narrow"/>
          <w:sz w:val="24"/>
          <w:szCs w:val="24"/>
        </w:rPr>
        <w:t>establece que el Banco Central de Reserva de El Salvador deberá elaborar o actualizar las Normas Técnicas pertinentes para la aplicación de l</w:t>
      </w:r>
      <w:r>
        <w:rPr>
          <w:rFonts w:ascii="Arial Narrow" w:hAnsi="Arial Narrow"/>
          <w:sz w:val="24"/>
          <w:szCs w:val="24"/>
        </w:rPr>
        <w:t xml:space="preserve">as disposiciones legales del referido </w:t>
      </w:r>
      <w:r w:rsidRPr="0027496D">
        <w:rPr>
          <w:rFonts w:ascii="Arial Narrow" w:hAnsi="Arial Narrow"/>
          <w:sz w:val="24"/>
          <w:szCs w:val="24"/>
        </w:rPr>
        <w:t xml:space="preserve">Decreto. </w:t>
      </w:r>
    </w:p>
    <w:p w14:paraId="25FB619C" w14:textId="77777777" w:rsidR="00EC2067" w:rsidRPr="00B028C5" w:rsidRDefault="00EC2067" w:rsidP="00EC2067">
      <w:pPr>
        <w:widowControl w:val="0"/>
        <w:spacing w:after="0" w:line="240" w:lineRule="auto"/>
        <w:rPr>
          <w:rFonts w:ascii="Arial Narrow" w:hAnsi="Arial Narrow"/>
          <w:sz w:val="24"/>
          <w:szCs w:val="24"/>
        </w:rPr>
      </w:pPr>
    </w:p>
    <w:p w14:paraId="25FB619D" w14:textId="77777777" w:rsidR="00EC2067" w:rsidRPr="008B7FB2" w:rsidRDefault="00EC2067" w:rsidP="00EC2067">
      <w:pPr>
        <w:widowControl w:val="0"/>
        <w:spacing w:after="0" w:line="240" w:lineRule="auto"/>
        <w:rPr>
          <w:rFonts w:ascii="Arial Narrow" w:eastAsia="Times New Roman" w:hAnsi="Arial Narrow" w:cs="Times New Roman"/>
          <w:b/>
          <w:sz w:val="24"/>
          <w:szCs w:val="24"/>
          <w:lang w:eastAsia="es-ES"/>
        </w:rPr>
      </w:pPr>
      <w:r w:rsidRPr="008B7FB2">
        <w:rPr>
          <w:rFonts w:ascii="Arial Narrow" w:eastAsia="Times New Roman" w:hAnsi="Arial Narrow" w:cs="Times New Roman"/>
          <w:b/>
          <w:sz w:val="24"/>
          <w:szCs w:val="24"/>
          <w:lang w:eastAsia="es-ES"/>
        </w:rPr>
        <w:t xml:space="preserve">POR TANTO, </w:t>
      </w:r>
    </w:p>
    <w:p w14:paraId="25FB619E" w14:textId="77777777" w:rsidR="00EC2067" w:rsidRPr="008B7FB2" w:rsidRDefault="00EC2067" w:rsidP="00EC2067">
      <w:pPr>
        <w:widowControl w:val="0"/>
        <w:spacing w:after="0" w:line="240" w:lineRule="auto"/>
        <w:ind w:left="-284"/>
        <w:rPr>
          <w:rFonts w:ascii="Arial Narrow" w:eastAsia="Times New Roman" w:hAnsi="Arial Narrow" w:cs="Times New Roman"/>
          <w:sz w:val="24"/>
          <w:szCs w:val="24"/>
          <w:lang w:eastAsia="es-ES"/>
        </w:rPr>
      </w:pPr>
    </w:p>
    <w:p w14:paraId="25FB619F" w14:textId="77777777" w:rsidR="00EC2067" w:rsidRPr="008B7FB2" w:rsidRDefault="00EC2067" w:rsidP="00EC2067">
      <w:pPr>
        <w:widowControl w:val="0"/>
        <w:spacing w:after="0" w:line="240" w:lineRule="auto"/>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e</w:t>
      </w:r>
      <w:r w:rsidRPr="008B7FB2">
        <w:rPr>
          <w:rFonts w:ascii="Arial Narrow" w:eastAsia="Times New Roman" w:hAnsi="Arial Narrow" w:cs="Times New Roman"/>
          <w:sz w:val="24"/>
          <w:szCs w:val="24"/>
          <w:lang w:eastAsia="es-ES"/>
        </w:rPr>
        <w:t xml:space="preserve">n virtud de las facultades normativas que le confiere el artículo 99 de la Ley de Supervisión y Regulación del Sistema Financiero, </w:t>
      </w:r>
    </w:p>
    <w:p w14:paraId="25FB61A0" w14:textId="77777777" w:rsidR="00EC2067" w:rsidRPr="008B7FB2" w:rsidRDefault="00EC2067" w:rsidP="00EC2067">
      <w:pPr>
        <w:widowControl w:val="0"/>
        <w:spacing w:after="0" w:line="240" w:lineRule="auto"/>
        <w:ind w:left="-284"/>
        <w:rPr>
          <w:rFonts w:ascii="Arial Narrow" w:eastAsia="Times New Roman" w:hAnsi="Arial Narrow" w:cs="Times New Roman"/>
          <w:sz w:val="24"/>
          <w:szCs w:val="24"/>
          <w:lang w:eastAsia="es-ES"/>
        </w:rPr>
      </w:pPr>
    </w:p>
    <w:p w14:paraId="25FB61A1" w14:textId="77777777" w:rsidR="00EC2067" w:rsidRDefault="00EC2067" w:rsidP="00EC2067">
      <w:pPr>
        <w:widowControl w:val="0"/>
        <w:spacing w:after="0" w:line="240" w:lineRule="auto"/>
        <w:rPr>
          <w:rFonts w:ascii="Arial Narrow" w:eastAsia="Times New Roman" w:hAnsi="Arial Narrow" w:cs="Times New Roman"/>
          <w:sz w:val="24"/>
          <w:szCs w:val="24"/>
          <w:lang w:eastAsia="es-ES"/>
        </w:rPr>
      </w:pPr>
      <w:r w:rsidRPr="008B7FB2">
        <w:rPr>
          <w:rFonts w:ascii="Arial Narrow" w:eastAsia="Times New Roman" w:hAnsi="Arial Narrow" w:cs="Times New Roman"/>
          <w:b/>
          <w:sz w:val="24"/>
          <w:szCs w:val="24"/>
          <w:lang w:eastAsia="es-ES"/>
        </w:rPr>
        <w:t>ACUERDA,</w:t>
      </w:r>
      <w:r w:rsidRPr="008B7FB2">
        <w:rPr>
          <w:rFonts w:ascii="Arial Narrow" w:eastAsia="Times New Roman" w:hAnsi="Arial Narrow" w:cs="Times New Roman"/>
          <w:sz w:val="24"/>
          <w:szCs w:val="24"/>
          <w:lang w:eastAsia="es-ES"/>
        </w:rPr>
        <w:t xml:space="preserve"> emitir las siguientes: </w:t>
      </w:r>
      <w:r>
        <w:rPr>
          <w:rFonts w:ascii="Arial Narrow" w:eastAsia="Times New Roman" w:hAnsi="Arial Narrow" w:cs="Times New Roman"/>
          <w:sz w:val="24"/>
          <w:szCs w:val="24"/>
          <w:lang w:eastAsia="es-ES"/>
        </w:rPr>
        <w:t xml:space="preserve"> </w:t>
      </w:r>
    </w:p>
    <w:p w14:paraId="25FB61A2" w14:textId="77777777" w:rsidR="00EC2067" w:rsidRDefault="00EC2067" w:rsidP="00EC2067">
      <w:pPr>
        <w:widowControl w:val="0"/>
        <w:spacing w:after="0" w:line="240" w:lineRule="auto"/>
        <w:rPr>
          <w:rFonts w:ascii="Arial Narrow" w:eastAsia="Times New Roman" w:hAnsi="Arial Narrow" w:cs="Times New Roman"/>
          <w:sz w:val="24"/>
          <w:szCs w:val="24"/>
          <w:lang w:eastAsia="es-ES"/>
        </w:rPr>
      </w:pPr>
    </w:p>
    <w:p w14:paraId="25FB61A3" w14:textId="77777777" w:rsidR="00EC2067" w:rsidRPr="00285CF6" w:rsidRDefault="00C95475" w:rsidP="00C856DD">
      <w:pPr>
        <w:spacing w:after="0" w:line="240" w:lineRule="auto"/>
        <w:jc w:val="center"/>
        <w:rPr>
          <w:rFonts w:ascii="Arial Narrow" w:eastAsia="Times New Roman" w:hAnsi="Arial Narrow" w:cs="Times New Roman"/>
          <w:sz w:val="24"/>
          <w:szCs w:val="24"/>
          <w:lang w:eastAsia="es-ES"/>
        </w:rPr>
      </w:pPr>
      <w:r w:rsidRPr="00285CF6">
        <w:rPr>
          <w:rFonts w:ascii="Arial Narrow" w:hAnsi="Arial Narrow" w:cs="Arial"/>
          <w:b/>
          <w:sz w:val="24"/>
          <w:szCs w:val="24"/>
        </w:rPr>
        <w:t xml:space="preserve">NORMAS TÉCNICAS PARA </w:t>
      </w:r>
      <w:r w:rsidR="00C856DD" w:rsidRPr="00285CF6">
        <w:rPr>
          <w:rFonts w:ascii="Arial Narrow" w:hAnsi="Arial Narrow" w:cs="Arial"/>
          <w:b/>
          <w:sz w:val="24"/>
          <w:szCs w:val="24"/>
        </w:rPr>
        <w:t xml:space="preserve">EL </w:t>
      </w:r>
      <w:r w:rsidR="00C856DD" w:rsidRPr="00285CF6">
        <w:rPr>
          <w:rFonts w:ascii="Arial Narrow" w:hAnsi="Arial Narrow"/>
          <w:b/>
          <w:sz w:val="24"/>
          <w:szCs w:val="24"/>
        </w:rPr>
        <w:t>USO DE VALOR CUOTA DE REFERENCIA PARA FLUJOS DE EFECTIVO SALIENTES DE LOS FONDOS DE PENSIONES</w:t>
      </w:r>
    </w:p>
    <w:p w14:paraId="25FB61A4" w14:textId="77777777" w:rsidR="00C95475" w:rsidRDefault="00C95475" w:rsidP="00EC2067">
      <w:pPr>
        <w:pStyle w:val="Default"/>
        <w:widowControl w:val="0"/>
        <w:jc w:val="center"/>
        <w:rPr>
          <w:rFonts w:ascii="Arial Narrow" w:hAnsi="Arial Narrow"/>
          <w:b/>
          <w:bCs/>
          <w:color w:val="auto"/>
          <w:lang w:val="es-SV"/>
        </w:rPr>
      </w:pPr>
    </w:p>
    <w:p w14:paraId="25FB61A5" w14:textId="77777777" w:rsidR="00EC2067" w:rsidRPr="0027496D" w:rsidRDefault="00EC2067" w:rsidP="00EC2067">
      <w:pPr>
        <w:pStyle w:val="Default"/>
        <w:widowControl w:val="0"/>
        <w:jc w:val="center"/>
        <w:rPr>
          <w:rFonts w:ascii="Arial Narrow" w:hAnsi="Arial Narrow"/>
          <w:color w:val="auto"/>
          <w:lang w:val="es-SV"/>
        </w:rPr>
      </w:pPr>
      <w:r w:rsidRPr="0027496D">
        <w:rPr>
          <w:rFonts w:ascii="Arial Narrow" w:hAnsi="Arial Narrow"/>
          <w:b/>
          <w:bCs/>
          <w:color w:val="auto"/>
          <w:lang w:val="es-SV"/>
        </w:rPr>
        <w:t>CAPÍTULO I</w:t>
      </w:r>
    </w:p>
    <w:p w14:paraId="25FB61A6" w14:textId="77777777" w:rsidR="00EC2067" w:rsidRPr="0027496D" w:rsidRDefault="00EC2067" w:rsidP="00EC2067">
      <w:pPr>
        <w:pStyle w:val="Default"/>
        <w:widowControl w:val="0"/>
        <w:jc w:val="center"/>
        <w:rPr>
          <w:rFonts w:ascii="Arial Narrow" w:hAnsi="Arial Narrow"/>
          <w:b/>
          <w:bCs/>
          <w:color w:val="auto"/>
          <w:lang w:val="es-SV"/>
        </w:rPr>
      </w:pPr>
      <w:r w:rsidRPr="0027496D">
        <w:rPr>
          <w:rFonts w:ascii="Arial Narrow" w:hAnsi="Arial Narrow"/>
          <w:b/>
          <w:bCs/>
          <w:color w:val="auto"/>
          <w:lang w:val="es-SV"/>
        </w:rPr>
        <w:t>OBJETO, SUJETOS Y TÉRMINOS</w:t>
      </w:r>
    </w:p>
    <w:p w14:paraId="25FB61A7" w14:textId="77777777" w:rsidR="00EC2067" w:rsidRDefault="00EC2067" w:rsidP="00EC2067">
      <w:pPr>
        <w:pStyle w:val="Default"/>
        <w:widowControl w:val="0"/>
        <w:jc w:val="both"/>
        <w:rPr>
          <w:rFonts w:ascii="Arial Narrow" w:hAnsi="Arial Narrow"/>
          <w:b/>
          <w:bCs/>
          <w:color w:val="auto"/>
          <w:lang w:val="es-SV"/>
        </w:rPr>
      </w:pPr>
    </w:p>
    <w:p w14:paraId="25FB61A8" w14:textId="77777777" w:rsidR="00EC2067" w:rsidRPr="00101DA3" w:rsidRDefault="00EC2067" w:rsidP="00EC2067">
      <w:pPr>
        <w:pStyle w:val="Default"/>
        <w:widowControl w:val="0"/>
        <w:jc w:val="both"/>
        <w:rPr>
          <w:rFonts w:ascii="Arial Narrow" w:hAnsi="Arial Narrow"/>
          <w:color w:val="auto"/>
          <w:lang w:val="es-SV"/>
        </w:rPr>
      </w:pPr>
      <w:r w:rsidRPr="00101DA3">
        <w:rPr>
          <w:rFonts w:ascii="Arial Narrow" w:hAnsi="Arial Narrow"/>
          <w:b/>
          <w:bCs/>
          <w:color w:val="auto"/>
          <w:lang w:val="es-SV"/>
        </w:rPr>
        <w:t xml:space="preserve">Objeto </w:t>
      </w:r>
    </w:p>
    <w:p w14:paraId="25FB61A9" w14:textId="77777777" w:rsidR="00EC2067" w:rsidRPr="00C856DD" w:rsidRDefault="00EC2067" w:rsidP="00C856DD">
      <w:pPr>
        <w:pStyle w:val="Prrafodelista"/>
        <w:widowControl w:val="0"/>
        <w:numPr>
          <w:ilvl w:val="0"/>
          <w:numId w:val="3"/>
        </w:numPr>
        <w:spacing w:after="0" w:line="240" w:lineRule="auto"/>
        <w:ind w:left="0" w:firstLine="0"/>
        <w:contextualSpacing w:val="0"/>
        <w:rPr>
          <w:rFonts w:ascii="Arial Narrow" w:hAnsi="Arial Narrow"/>
          <w:sz w:val="24"/>
          <w:szCs w:val="24"/>
        </w:rPr>
      </w:pPr>
      <w:r w:rsidRPr="00C856DD">
        <w:rPr>
          <w:rFonts w:ascii="Arial Narrow" w:hAnsi="Arial Narrow"/>
          <w:sz w:val="24"/>
          <w:szCs w:val="24"/>
        </w:rPr>
        <w:t xml:space="preserve">Las presentes Normas tienen por </w:t>
      </w:r>
      <w:r w:rsidR="00C95475" w:rsidRPr="00C856DD">
        <w:rPr>
          <w:rFonts w:ascii="Arial Narrow" w:hAnsi="Arial Narrow"/>
          <w:sz w:val="24"/>
          <w:szCs w:val="24"/>
        </w:rPr>
        <w:t xml:space="preserve">objeto </w:t>
      </w:r>
      <w:r w:rsidR="00C856DD">
        <w:rPr>
          <w:rFonts w:ascii="Arial Narrow" w:hAnsi="Arial Narrow"/>
          <w:sz w:val="24"/>
          <w:szCs w:val="24"/>
        </w:rPr>
        <w:t>e</w:t>
      </w:r>
      <w:r w:rsidR="00C856DD" w:rsidRPr="00C856DD">
        <w:rPr>
          <w:rFonts w:ascii="Arial Narrow" w:hAnsi="Arial Narrow"/>
          <w:sz w:val="24"/>
          <w:szCs w:val="24"/>
        </w:rPr>
        <w:t>stablecer el procedimiento para homogenizar el registro de los flujos generados por obligaciones de los Fondos de Pensiones con los afiliados o sus beneficiarios</w:t>
      </w:r>
      <w:r w:rsidRPr="00C856DD">
        <w:rPr>
          <w:rFonts w:ascii="Arial Narrow" w:hAnsi="Arial Narrow"/>
          <w:sz w:val="24"/>
          <w:szCs w:val="24"/>
        </w:rPr>
        <w:t>.</w:t>
      </w:r>
    </w:p>
    <w:p w14:paraId="25FB61AA" w14:textId="77777777" w:rsidR="00EC2067" w:rsidRPr="007D1DC6" w:rsidRDefault="00EC2067" w:rsidP="00EC2067">
      <w:pPr>
        <w:pStyle w:val="Prrafodelista"/>
        <w:widowControl w:val="0"/>
        <w:spacing w:after="0" w:line="240" w:lineRule="auto"/>
        <w:ind w:left="0"/>
        <w:contextualSpacing w:val="0"/>
        <w:rPr>
          <w:rFonts w:ascii="Arial Narrow" w:hAnsi="Arial Narrow"/>
          <w:sz w:val="24"/>
          <w:szCs w:val="24"/>
        </w:rPr>
      </w:pPr>
    </w:p>
    <w:p w14:paraId="25FB61AB" w14:textId="77777777" w:rsidR="00EC2067" w:rsidRPr="00101DA3" w:rsidRDefault="00EC2067" w:rsidP="00EC2067">
      <w:pPr>
        <w:pStyle w:val="Default"/>
        <w:widowControl w:val="0"/>
        <w:jc w:val="both"/>
        <w:rPr>
          <w:rFonts w:ascii="Arial Narrow" w:hAnsi="Arial Narrow"/>
          <w:color w:val="auto"/>
          <w:lang w:val="es-SV"/>
        </w:rPr>
      </w:pPr>
      <w:r w:rsidRPr="00101DA3">
        <w:rPr>
          <w:rFonts w:ascii="Arial Narrow" w:hAnsi="Arial Narrow"/>
          <w:b/>
          <w:bCs/>
          <w:color w:val="auto"/>
          <w:lang w:val="es-SV"/>
        </w:rPr>
        <w:t xml:space="preserve">Sujetos </w:t>
      </w:r>
    </w:p>
    <w:p w14:paraId="25FB61AC" w14:textId="77777777" w:rsidR="00EC2067" w:rsidRPr="00101DA3" w:rsidRDefault="00EC2067" w:rsidP="00EC2067">
      <w:pPr>
        <w:pStyle w:val="Prrafodelista"/>
        <w:widowControl w:val="0"/>
        <w:numPr>
          <w:ilvl w:val="0"/>
          <w:numId w:val="3"/>
        </w:numPr>
        <w:spacing w:after="0" w:line="240" w:lineRule="auto"/>
        <w:ind w:left="0" w:firstLine="0"/>
        <w:contextualSpacing w:val="0"/>
        <w:rPr>
          <w:rFonts w:ascii="Arial Narrow" w:hAnsi="Arial Narrow"/>
          <w:sz w:val="24"/>
          <w:szCs w:val="24"/>
        </w:rPr>
      </w:pPr>
      <w:r w:rsidRPr="00101DA3">
        <w:rPr>
          <w:rFonts w:ascii="Arial Narrow" w:hAnsi="Arial Narrow"/>
          <w:sz w:val="24"/>
          <w:szCs w:val="24"/>
        </w:rPr>
        <w:t xml:space="preserve">Los sujetos obligados al cumplimiento de las disposiciones establecidas en las presentes Normas son las Instituciones Administradoras de </w:t>
      </w:r>
      <w:r>
        <w:rPr>
          <w:rFonts w:ascii="Arial Narrow" w:hAnsi="Arial Narrow"/>
          <w:sz w:val="24"/>
          <w:szCs w:val="24"/>
        </w:rPr>
        <w:t>Fondo</w:t>
      </w:r>
      <w:r w:rsidRPr="00101DA3">
        <w:rPr>
          <w:rFonts w:ascii="Arial Narrow" w:hAnsi="Arial Narrow"/>
          <w:sz w:val="24"/>
          <w:szCs w:val="24"/>
        </w:rPr>
        <w:t>s de Pensiones.</w:t>
      </w:r>
    </w:p>
    <w:p w14:paraId="25FB61AE" w14:textId="77777777" w:rsidR="00EC2067" w:rsidRPr="00101DA3" w:rsidRDefault="00EC2067" w:rsidP="00EC2067">
      <w:pPr>
        <w:pStyle w:val="Default"/>
        <w:widowControl w:val="0"/>
        <w:jc w:val="both"/>
        <w:rPr>
          <w:rFonts w:ascii="Arial Narrow" w:hAnsi="Arial Narrow"/>
          <w:b/>
          <w:bCs/>
          <w:color w:val="auto"/>
          <w:lang w:val="es-SV"/>
        </w:rPr>
      </w:pPr>
      <w:r w:rsidRPr="00101DA3">
        <w:rPr>
          <w:rFonts w:ascii="Arial Narrow" w:hAnsi="Arial Narrow"/>
          <w:b/>
          <w:bCs/>
          <w:color w:val="auto"/>
          <w:lang w:val="es-SV"/>
        </w:rPr>
        <w:lastRenderedPageBreak/>
        <w:t>Términos</w:t>
      </w:r>
    </w:p>
    <w:p w14:paraId="25FB61AF" w14:textId="77777777" w:rsidR="00EC2067" w:rsidRDefault="00EC2067" w:rsidP="00EC2067">
      <w:pPr>
        <w:pStyle w:val="Prrafodelista"/>
        <w:widowControl w:val="0"/>
        <w:numPr>
          <w:ilvl w:val="0"/>
          <w:numId w:val="3"/>
        </w:numPr>
        <w:tabs>
          <w:tab w:val="left" w:pos="709"/>
        </w:tabs>
        <w:spacing w:after="120" w:line="240" w:lineRule="auto"/>
        <w:ind w:left="0" w:firstLine="0"/>
        <w:contextualSpacing w:val="0"/>
        <w:rPr>
          <w:rFonts w:ascii="Arial Narrow" w:hAnsi="Arial Narrow"/>
          <w:sz w:val="24"/>
          <w:szCs w:val="24"/>
        </w:rPr>
      </w:pPr>
      <w:r w:rsidRPr="00101DA3">
        <w:rPr>
          <w:rFonts w:ascii="Arial Narrow" w:hAnsi="Arial Narrow"/>
          <w:sz w:val="24"/>
          <w:szCs w:val="24"/>
        </w:rPr>
        <w:t xml:space="preserve">Para efectos de las presentes Normas, los términos que se indican a continuación tienen el significado siguiente: </w:t>
      </w:r>
    </w:p>
    <w:p w14:paraId="25FB61B0" w14:textId="77777777" w:rsidR="00EC2067" w:rsidRPr="00101DA3" w:rsidRDefault="00EC2067" w:rsidP="00EC2067">
      <w:pPr>
        <w:pStyle w:val="Prrafodelista"/>
        <w:widowControl w:val="0"/>
        <w:numPr>
          <w:ilvl w:val="0"/>
          <w:numId w:val="1"/>
        </w:numPr>
        <w:spacing w:after="0" w:line="240" w:lineRule="auto"/>
        <w:ind w:left="425" w:hanging="425"/>
        <w:jc w:val="left"/>
        <w:rPr>
          <w:rFonts w:ascii="Arial Narrow" w:hAnsi="Arial Narrow" w:cs="Arial"/>
          <w:sz w:val="24"/>
          <w:szCs w:val="24"/>
        </w:rPr>
      </w:pPr>
      <w:r w:rsidRPr="00101DA3">
        <w:rPr>
          <w:rFonts w:ascii="Arial Narrow" w:hAnsi="Arial Narrow" w:cs="Arial"/>
          <w:b/>
          <w:sz w:val="24"/>
          <w:szCs w:val="24"/>
        </w:rPr>
        <w:t xml:space="preserve">AFP: </w:t>
      </w:r>
      <w:r w:rsidRPr="00101DA3">
        <w:rPr>
          <w:rFonts w:ascii="Arial Narrow" w:hAnsi="Arial Narrow" w:cs="Arial"/>
          <w:sz w:val="24"/>
          <w:szCs w:val="24"/>
        </w:rPr>
        <w:t xml:space="preserve">Instituciones Administradoras de </w:t>
      </w:r>
      <w:r w:rsidRPr="00F1560A">
        <w:rPr>
          <w:rFonts w:ascii="Arial Narrow" w:hAnsi="Arial Narrow" w:cs="Arial"/>
          <w:sz w:val="24"/>
          <w:szCs w:val="24"/>
        </w:rPr>
        <w:t>Fondo</w:t>
      </w:r>
      <w:r w:rsidRPr="00101DA3">
        <w:rPr>
          <w:rFonts w:ascii="Arial Narrow" w:hAnsi="Arial Narrow" w:cs="Arial"/>
          <w:sz w:val="24"/>
          <w:szCs w:val="24"/>
        </w:rPr>
        <w:t xml:space="preserve">s de Pensiones; </w:t>
      </w:r>
    </w:p>
    <w:p w14:paraId="25FB61B1" w14:textId="77777777" w:rsidR="00EC2067" w:rsidRPr="00101DA3" w:rsidRDefault="00EC2067" w:rsidP="00EC2067">
      <w:pPr>
        <w:pStyle w:val="Prrafodelista"/>
        <w:widowControl w:val="0"/>
        <w:numPr>
          <w:ilvl w:val="0"/>
          <w:numId w:val="1"/>
        </w:numPr>
        <w:spacing w:after="0" w:line="240" w:lineRule="auto"/>
        <w:ind w:left="425" w:hanging="425"/>
        <w:rPr>
          <w:rFonts w:ascii="Arial Narrow" w:hAnsi="Arial Narrow" w:cs="Arial"/>
          <w:sz w:val="24"/>
          <w:szCs w:val="24"/>
        </w:rPr>
      </w:pPr>
      <w:r w:rsidRPr="00101DA3">
        <w:rPr>
          <w:rFonts w:ascii="Arial Narrow" w:hAnsi="Arial Narrow" w:cs="Arial"/>
          <w:b/>
          <w:sz w:val="24"/>
          <w:szCs w:val="24"/>
        </w:rPr>
        <w:t>Banco Central:</w:t>
      </w:r>
      <w:r w:rsidRPr="00101DA3">
        <w:rPr>
          <w:rFonts w:ascii="Arial Narrow" w:hAnsi="Arial Narrow" w:cs="Arial"/>
          <w:sz w:val="24"/>
          <w:szCs w:val="24"/>
        </w:rPr>
        <w:t xml:space="preserve"> Banco Central de Reserva de El Salvador;</w:t>
      </w:r>
    </w:p>
    <w:p w14:paraId="25FB61B2" w14:textId="77777777" w:rsidR="00EC2067" w:rsidRDefault="00EC2067" w:rsidP="00EC2067">
      <w:pPr>
        <w:pStyle w:val="Prrafodelista"/>
        <w:widowControl w:val="0"/>
        <w:numPr>
          <w:ilvl w:val="0"/>
          <w:numId w:val="1"/>
        </w:numPr>
        <w:spacing w:after="0" w:line="240" w:lineRule="auto"/>
        <w:ind w:left="425" w:hanging="425"/>
        <w:rPr>
          <w:rFonts w:ascii="Arial Narrow" w:hAnsi="Arial Narrow" w:cs="Arial"/>
          <w:sz w:val="24"/>
          <w:szCs w:val="24"/>
        </w:rPr>
      </w:pPr>
      <w:r w:rsidRPr="00101DA3">
        <w:rPr>
          <w:rFonts w:ascii="Arial Narrow" w:hAnsi="Arial Narrow" w:cs="Arial"/>
          <w:b/>
          <w:sz w:val="24"/>
          <w:szCs w:val="24"/>
        </w:rPr>
        <w:t>CIAP:</w:t>
      </w:r>
      <w:r w:rsidRPr="00101DA3">
        <w:rPr>
          <w:rFonts w:ascii="Arial Narrow" w:hAnsi="Arial Narrow" w:cs="Arial"/>
          <w:sz w:val="24"/>
          <w:szCs w:val="24"/>
        </w:rPr>
        <w:t xml:space="preserve"> Cuenta Individual de Ahorro para Pensiones;</w:t>
      </w:r>
    </w:p>
    <w:p w14:paraId="25FB61B3" w14:textId="77777777" w:rsidR="00EC2067" w:rsidRDefault="00EC2067" w:rsidP="00EC2067">
      <w:pPr>
        <w:pStyle w:val="Prrafodelista"/>
        <w:widowControl w:val="0"/>
        <w:numPr>
          <w:ilvl w:val="0"/>
          <w:numId w:val="1"/>
        </w:numPr>
        <w:spacing w:after="0" w:line="240" w:lineRule="auto"/>
        <w:ind w:left="425" w:hanging="425"/>
        <w:rPr>
          <w:rFonts w:ascii="Arial Narrow" w:hAnsi="Arial Narrow" w:cs="Arial"/>
          <w:sz w:val="24"/>
          <w:szCs w:val="24"/>
        </w:rPr>
      </w:pPr>
      <w:r w:rsidRPr="00101DA3">
        <w:rPr>
          <w:rFonts w:ascii="Arial Narrow" w:hAnsi="Arial Narrow" w:cs="Arial"/>
          <w:b/>
          <w:sz w:val="24"/>
          <w:szCs w:val="24"/>
        </w:rPr>
        <w:t>Ley SAP:</w:t>
      </w:r>
      <w:r w:rsidRPr="00101DA3">
        <w:rPr>
          <w:rFonts w:ascii="Arial Narrow" w:hAnsi="Arial Narrow" w:cs="Arial"/>
          <w:sz w:val="24"/>
          <w:szCs w:val="24"/>
        </w:rPr>
        <w:t xml:space="preserve"> </w:t>
      </w:r>
      <w:r w:rsidRPr="00101DA3">
        <w:rPr>
          <w:rFonts w:ascii="Arial Narrow" w:hAnsi="Arial Narrow"/>
          <w:sz w:val="24"/>
          <w:szCs w:val="24"/>
        </w:rPr>
        <w:t>Ley del Sistema de Ahorro para Pensiones;</w:t>
      </w:r>
      <w:r>
        <w:rPr>
          <w:rFonts w:ascii="Arial Narrow" w:hAnsi="Arial Narrow"/>
          <w:sz w:val="24"/>
          <w:szCs w:val="24"/>
        </w:rPr>
        <w:t xml:space="preserve"> y</w:t>
      </w:r>
      <w:r w:rsidRPr="00101DA3">
        <w:rPr>
          <w:rFonts w:ascii="Arial Narrow" w:hAnsi="Arial Narrow"/>
          <w:sz w:val="24"/>
          <w:szCs w:val="24"/>
        </w:rPr>
        <w:t xml:space="preserve"> </w:t>
      </w:r>
    </w:p>
    <w:p w14:paraId="25FB61B4" w14:textId="676717E8" w:rsidR="008F4C3D" w:rsidRDefault="00EC2067" w:rsidP="00EC2067">
      <w:pPr>
        <w:pStyle w:val="Prrafodelista"/>
        <w:widowControl w:val="0"/>
        <w:numPr>
          <w:ilvl w:val="0"/>
          <w:numId w:val="1"/>
        </w:numPr>
        <w:spacing w:after="0" w:line="240" w:lineRule="auto"/>
        <w:ind w:left="425" w:hanging="425"/>
        <w:rPr>
          <w:rFonts w:ascii="Arial Narrow" w:hAnsi="Arial Narrow" w:cs="Arial"/>
          <w:sz w:val="24"/>
          <w:szCs w:val="24"/>
        </w:rPr>
      </w:pPr>
      <w:r w:rsidRPr="00101DA3">
        <w:rPr>
          <w:rFonts w:ascii="Arial Narrow" w:hAnsi="Arial Narrow" w:cs="Arial"/>
          <w:b/>
          <w:sz w:val="24"/>
          <w:szCs w:val="24"/>
        </w:rPr>
        <w:t>Superintendencia</w:t>
      </w:r>
      <w:r w:rsidRPr="00101DA3">
        <w:rPr>
          <w:rFonts w:ascii="Arial Narrow" w:hAnsi="Arial Narrow" w:cs="Arial"/>
          <w:sz w:val="24"/>
          <w:szCs w:val="24"/>
        </w:rPr>
        <w:t>: Superintendencia del Sistema Financiero</w:t>
      </w:r>
      <w:r w:rsidR="00075378">
        <w:rPr>
          <w:rFonts w:ascii="Arial Narrow" w:hAnsi="Arial Narrow" w:cs="Arial"/>
          <w:sz w:val="24"/>
          <w:szCs w:val="24"/>
        </w:rPr>
        <w:t>.</w:t>
      </w:r>
      <w:r w:rsidR="008F4C3D">
        <w:rPr>
          <w:rFonts w:ascii="Arial Narrow" w:hAnsi="Arial Narrow" w:cs="Arial"/>
          <w:sz w:val="24"/>
          <w:szCs w:val="24"/>
        </w:rPr>
        <w:t xml:space="preserve"> </w:t>
      </w:r>
    </w:p>
    <w:p w14:paraId="25FB61B5" w14:textId="77777777" w:rsidR="00EC2067" w:rsidRDefault="00EC2067" w:rsidP="00EC2067">
      <w:pPr>
        <w:widowControl w:val="0"/>
        <w:spacing w:after="0" w:line="240" w:lineRule="auto"/>
        <w:rPr>
          <w:rFonts w:ascii="Arial Narrow" w:hAnsi="Arial Narrow" w:cs="Arial"/>
          <w:sz w:val="24"/>
          <w:szCs w:val="24"/>
        </w:rPr>
      </w:pPr>
    </w:p>
    <w:p w14:paraId="25FB61B6" w14:textId="77777777" w:rsidR="00C95475" w:rsidRPr="00C856DD" w:rsidRDefault="00C856DD" w:rsidP="00C856DD">
      <w:pPr>
        <w:pStyle w:val="Default"/>
        <w:widowControl w:val="0"/>
        <w:jc w:val="center"/>
        <w:rPr>
          <w:rFonts w:ascii="Arial Narrow" w:hAnsi="Arial Narrow"/>
          <w:b/>
          <w:bCs/>
          <w:color w:val="auto"/>
          <w:lang w:val="es-SV"/>
        </w:rPr>
      </w:pPr>
      <w:r w:rsidRPr="00C856DD">
        <w:rPr>
          <w:rFonts w:ascii="Arial Narrow" w:hAnsi="Arial Narrow"/>
          <w:b/>
          <w:bCs/>
          <w:color w:val="auto"/>
          <w:lang w:val="es-SV"/>
        </w:rPr>
        <w:t>CAPÍ</w:t>
      </w:r>
      <w:r w:rsidR="00C95475" w:rsidRPr="00C856DD">
        <w:rPr>
          <w:rFonts w:ascii="Arial Narrow" w:hAnsi="Arial Narrow"/>
          <w:b/>
          <w:bCs/>
          <w:color w:val="auto"/>
          <w:lang w:val="es-SV"/>
        </w:rPr>
        <w:t>TULO I</w:t>
      </w:r>
      <w:r w:rsidRPr="00C856DD">
        <w:rPr>
          <w:rFonts w:ascii="Arial Narrow" w:hAnsi="Arial Narrow"/>
          <w:b/>
          <w:bCs/>
          <w:color w:val="auto"/>
          <w:lang w:val="es-SV"/>
        </w:rPr>
        <w:t>I</w:t>
      </w:r>
    </w:p>
    <w:p w14:paraId="25FB61B7" w14:textId="77777777" w:rsidR="00C856DD" w:rsidRPr="00C856DD" w:rsidRDefault="00C856DD" w:rsidP="00C856DD">
      <w:pPr>
        <w:pStyle w:val="Default"/>
        <w:widowControl w:val="0"/>
        <w:jc w:val="center"/>
        <w:rPr>
          <w:rFonts w:ascii="Arial Narrow" w:hAnsi="Arial Narrow"/>
          <w:b/>
          <w:bCs/>
          <w:color w:val="auto"/>
          <w:lang w:val="es-SV"/>
        </w:rPr>
      </w:pPr>
      <w:r w:rsidRPr="00C856DD">
        <w:rPr>
          <w:rFonts w:ascii="Arial Narrow" w:hAnsi="Arial Narrow"/>
          <w:b/>
          <w:bCs/>
          <w:color w:val="auto"/>
          <w:lang w:val="es-SV"/>
        </w:rPr>
        <w:t xml:space="preserve">PROCEDIMIENTO PARA HOMOGENIZAR EL REGISTRO DE LOS FLUJOS GENERADOS POR OBLIGACIONES DE LOS FONDOS DE PENSIONES </w:t>
      </w:r>
      <w:r w:rsidR="0003397E">
        <w:rPr>
          <w:rFonts w:ascii="Arial Narrow" w:hAnsi="Arial Narrow"/>
          <w:b/>
          <w:bCs/>
          <w:color w:val="auto"/>
          <w:lang w:val="es-SV"/>
        </w:rPr>
        <w:t>A LOS</w:t>
      </w:r>
      <w:r w:rsidRPr="00C856DD">
        <w:rPr>
          <w:rFonts w:ascii="Arial Narrow" w:hAnsi="Arial Narrow"/>
          <w:b/>
          <w:bCs/>
          <w:color w:val="auto"/>
          <w:lang w:val="es-SV"/>
        </w:rPr>
        <w:t xml:space="preserve"> AFILIADOS O BENEFICIARIO</w:t>
      </w:r>
      <w:r w:rsidR="0003397E">
        <w:rPr>
          <w:rFonts w:ascii="Arial Narrow" w:hAnsi="Arial Narrow"/>
          <w:b/>
          <w:bCs/>
          <w:color w:val="auto"/>
          <w:lang w:val="es-SV"/>
        </w:rPr>
        <w:t>S</w:t>
      </w:r>
    </w:p>
    <w:p w14:paraId="25FB61B8" w14:textId="77777777" w:rsidR="008F4C3D" w:rsidRDefault="008F4C3D" w:rsidP="001E76EE">
      <w:pPr>
        <w:pStyle w:val="Prrafodelista"/>
        <w:widowControl w:val="0"/>
        <w:tabs>
          <w:tab w:val="left" w:pos="709"/>
        </w:tabs>
        <w:spacing w:after="0" w:line="240" w:lineRule="auto"/>
        <w:ind w:left="0"/>
        <w:contextualSpacing w:val="0"/>
        <w:rPr>
          <w:rFonts w:ascii="Arial Narrow" w:hAnsi="Arial Narrow"/>
          <w:sz w:val="24"/>
        </w:rPr>
      </w:pPr>
    </w:p>
    <w:p w14:paraId="25FB61B9" w14:textId="77777777" w:rsidR="0003397E" w:rsidRPr="008F4C3D" w:rsidRDefault="0003397E" w:rsidP="0003397E">
      <w:pPr>
        <w:pStyle w:val="Prrafodelista"/>
        <w:widowControl w:val="0"/>
        <w:numPr>
          <w:ilvl w:val="0"/>
          <w:numId w:val="3"/>
        </w:numPr>
        <w:tabs>
          <w:tab w:val="left" w:pos="709"/>
        </w:tabs>
        <w:spacing w:after="120" w:line="240" w:lineRule="auto"/>
        <w:ind w:left="0" w:firstLine="0"/>
        <w:contextualSpacing w:val="0"/>
        <w:rPr>
          <w:rFonts w:ascii="Arial Narrow" w:hAnsi="Arial Narrow"/>
          <w:sz w:val="24"/>
          <w:szCs w:val="24"/>
        </w:rPr>
      </w:pPr>
      <w:r>
        <w:rPr>
          <w:rFonts w:ascii="Arial Narrow" w:hAnsi="Arial Narrow"/>
          <w:sz w:val="24"/>
        </w:rPr>
        <w:t xml:space="preserve">Las AFP deberán </w:t>
      </w:r>
      <w:r w:rsidRPr="008F4C3D">
        <w:rPr>
          <w:rFonts w:ascii="Arial Narrow" w:hAnsi="Arial Narrow"/>
          <w:sz w:val="24"/>
          <w:szCs w:val="24"/>
        </w:rPr>
        <w:t xml:space="preserve">aplicar, </w:t>
      </w:r>
      <w:r w:rsidR="00C856DD" w:rsidRPr="008F4C3D">
        <w:rPr>
          <w:rFonts w:ascii="Arial Narrow" w:hAnsi="Arial Narrow"/>
          <w:sz w:val="24"/>
          <w:szCs w:val="24"/>
        </w:rPr>
        <w:t xml:space="preserve">en el caso de fondos salientes </w:t>
      </w:r>
      <w:r w:rsidRPr="008F4C3D">
        <w:rPr>
          <w:rFonts w:ascii="Arial Narrow" w:hAnsi="Arial Narrow"/>
          <w:sz w:val="24"/>
          <w:szCs w:val="24"/>
        </w:rPr>
        <w:t xml:space="preserve">el procedimiento siguiente: </w:t>
      </w:r>
    </w:p>
    <w:p w14:paraId="25FB61BA" w14:textId="77777777" w:rsidR="0003397E" w:rsidRPr="008F4C3D" w:rsidRDefault="0003397E" w:rsidP="0003397E">
      <w:pPr>
        <w:pStyle w:val="Prrafodelista"/>
        <w:numPr>
          <w:ilvl w:val="0"/>
          <w:numId w:val="18"/>
        </w:numPr>
        <w:spacing w:after="0" w:line="240" w:lineRule="auto"/>
        <w:ind w:left="425" w:hanging="425"/>
        <w:contextualSpacing w:val="0"/>
        <w:rPr>
          <w:rFonts w:ascii="Arial Narrow" w:hAnsi="Arial Narrow"/>
          <w:sz w:val="24"/>
          <w:szCs w:val="24"/>
        </w:rPr>
      </w:pPr>
      <w:r w:rsidRPr="008F4C3D">
        <w:rPr>
          <w:rFonts w:ascii="Arial Narrow" w:hAnsi="Arial Narrow"/>
          <w:sz w:val="24"/>
          <w:szCs w:val="24"/>
        </w:rPr>
        <w:t xml:space="preserve">Al momento de efectuar la salida de fondos, la AFP deberá establecer como valor cuota de referencia, el valor cuota vigente </w:t>
      </w:r>
      <w:r w:rsidR="00DB098F">
        <w:rPr>
          <w:rFonts w:ascii="Arial Narrow" w:hAnsi="Arial Narrow"/>
          <w:sz w:val="24"/>
          <w:szCs w:val="24"/>
        </w:rPr>
        <w:t>siete</w:t>
      </w:r>
      <w:r w:rsidRPr="008F4C3D">
        <w:rPr>
          <w:rFonts w:ascii="Arial Narrow" w:hAnsi="Arial Narrow"/>
          <w:sz w:val="24"/>
          <w:szCs w:val="24"/>
        </w:rPr>
        <w:t xml:space="preserve"> días antes de la transacción; o </w:t>
      </w:r>
    </w:p>
    <w:p w14:paraId="25FB61BB" w14:textId="77777777" w:rsidR="0003397E" w:rsidRPr="008F4C3D" w:rsidRDefault="0003397E" w:rsidP="0003397E">
      <w:pPr>
        <w:spacing w:after="0" w:line="240" w:lineRule="auto"/>
        <w:ind w:left="425" w:hanging="425"/>
        <w:rPr>
          <w:rFonts w:ascii="Arial Narrow" w:hAnsi="Arial Narrow"/>
          <w:sz w:val="24"/>
          <w:szCs w:val="24"/>
        </w:rPr>
      </w:pPr>
    </w:p>
    <w:p w14:paraId="25FB61BC" w14:textId="2A0F1A6E" w:rsidR="0003397E" w:rsidRPr="008F4C3D" w:rsidRDefault="0003397E" w:rsidP="00A21013">
      <w:pPr>
        <w:pStyle w:val="Prrafodelista"/>
        <w:numPr>
          <w:ilvl w:val="0"/>
          <w:numId w:val="18"/>
        </w:numPr>
        <w:spacing w:after="120" w:line="240" w:lineRule="auto"/>
        <w:ind w:left="425" w:hanging="425"/>
        <w:contextualSpacing w:val="0"/>
        <w:rPr>
          <w:rFonts w:ascii="Arial Narrow" w:hAnsi="Arial Narrow"/>
          <w:sz w:val="24"/>
          <w:szCs w:val="24"/>
        </w:rPr>
      </w:pPr>
      <w:r w:rsidRPr="008F4C3D">
        <w:rPr>
          <w:rFonts w:ascii="Arial Narrow" w:hAnsi="Arial Narrow"/>
          <w:sz w:val="24"/>
          <w:szCs w:val="24"/>
        </w:rPr>
        <w:t xml:space="preserve">En el caso que no se encuentre disponible el valor cuota del día al momento de ocurrir el flujo, la AFP para establecer el valor cuota de referencia del literal a), deberá proceder de la </w:t>
      </w:r>
      <w:r w:rsidR="00585D78" w:rsidRPr="008F4C3D">
        <w:rPr>
          <w:rFonts w:ascii="Arial Narrow" w:hAnsi="Arial Narrow"/>
          <w:sz w:val="24"/>
          <w:szCs w:val="24"/>
        </w:rPr>
        <w:t xml:space="preserve">manera </w:t>
      </w:r>
      <w:r w:rsidRPr="008F4C3D">
        <w:rPr>
          <w:rFonts w:ascii="Arial Narrow" w:hAnsi="Arial Narrow"/>
          <w:sz w:val="24"/>
          <w:szCs w:val="24"/>
        </w:rPr>
        <w:t>siguiente:</w:t>
      </w:r>
    </w:p>
    <w:p w14:paraId="25FB61BD" w14:textId="77777777" w:rsidR="0003397E" w:rsidRPr="008F4C3D" w:rsidRDefault="0003397E" w:rsidP="00075378">
      <w:pPr>
        <w:pStyle w:val="Prrafodelista"/>
        <w:numPr>
          <w:ilvl w:val="0"/>
          <w:numId w:val="19"/>
        </w:numPr>
        <w:spacing w:after="0" w:line="240" w:lineRule="auto"/>
        <w:ind w:left="993" w:hanging="284"/>
        <w:contextualSpacing w:val="0"/>
        <w:rPr>
          <w:rFonts w:ascii="Arial Narrow" w:hAnsi="Arial Narrow"/>
          <w:sz w:val="24"/>
          <w:szCs w:val="24"/>
        </w:rPr>
      </w:pPr>
      <w:r w:rsidRPr="008F4C3D">
        <w:rPr>
          <w:rFonts w:ascii="Arial Narrow" w:hAnsi="Arial Narrow"/>
          <w:sz w:val="24"/>
          <w:szCs w:val="24"/>
        </w:rPr>
        <w:t xml:space="preserve">Al momento de realizar la transacción, el movimiento deberá ser registrado en el sistema mecanizado, así como en los registros auxiliares de la </w:t>
      </w:r>
      <w:r w:rsidR="00BC29D4">
        <w:rPr>
          <w:rFonts w:ascii="Arial Narrow" w:hAnsi="Arial Narrow"/>
          <w:sz w:val="24"/>
          <w:szCs w:val="24"/>
        </w:rPr>
        <w:t>AFP</w:t>
      </w:r>
      <w:r w:rsidRPr="008F4C3D">
        <w:rPr>
          <w:rFonts w:ascii="Arial Narrow" w:hAnsi="Arial Narrow"/>
          <w:sz w:val="24"/>
          <w:szCs w:val="24"/>
        </w:rPr>
        <w:t>;</w:t>
      </w:r>
    </w:p>
    <w:p w14:paraId="25FB61BE" w14:textId="77777777" w:rsidR="0003397E" w:rsidRPr="008F4C3D" w:rsidRDefault="0003397E" w:rsidP="00075378">
      <w:pPr>
        <w:pStyle w:val="Prrafodelista"/>
        <w:numPr>
          <w:ilvl w:val="0"/>
          <w:numId w:val="19"/>
        </w:numPr>
        <w:spacing w:after="0" w:line="240" w:lineRule="auto"/>
        <w:ind w:left="993" w:hanging="284"/>
        <w:contextualSpacing w:val="0"/>
        <w:rPr>
          <w:rFonts w:ascii="Arial Narrow" w:hAnsi="Arial Narrow"/>
          <w:sz w:val="24"/>
          <w:szCs w:val="24"/>
        </w:rPr>
      </w:pPr>
      <w:r w:rsidRPr="008F4C3D">
        <w:rPr>
          <w:rFonts w:ascii="Arial Narrow" w:hAnsi="Arial Narrow"/>
          <w:sz w:val="24"/>
          <w:szCs w:val="24"/>
        </w:rPr>
        <w:t xml:space="preserve">El registro contable de la salida de fondos deberá realizarse con el valor cuota vigente el día de la transacción y su registro no podrá exceder de 10 días calendario posteriores a la fecha en que ocurrió la salida de los fondos; </w:t>
      </w:r>
    </w:p>
    <w:p w14:paraId="25FB61BF" w14:textId="77777777" w:rsidR="0003397E" w:rsidRPr="00643386" w:rsidRDefault="0003397E" w:rsidP="00075378">
      <w:pPr>
        <w:pStyle w:val="Prrafodelista"/>
        <w:numPr>
          <w:ilvl w:val="0"/>
          <w:numId w:val="19"/>
        </w:numPr>
        <w:spacing w:after="0" w:line="240" w:lineRule="auto"/>
        <w:ind w:left="993" w:hanging="284"/>
        <w:contextualSpacing w:val="0"/>
        <w:rPr>
          <w:rFonts w:ascii="Arial Narrow" w:hAnsi="Arial Narrow"/>
          <w:sz w:val="24"/>
          <w:szCs w:val="24"/>
        </w:rPr>
      </w:pPr>
      <w:r w:rsidRPr="008F4C3D">
        <w:rPr>
          <w:rFonts w:ascii="Arial Narrow" w:hAnsi="Arial Narrow"/>
          <w:sz w:val="24"/>
          <w:szCs w:val="24"/>
        </w:rPr>
        <w:t xml:space="preserve">El diferencial de </w:t>
      </w:r>
      <w:r w:rsidRPr="00643386">
        <w:rPr>
          <w:rFonts w:ascii="Arial Narrow" w:hAnsi="Arial Narrow"/>
          <w:sz w:val="24"/>
          <w:szCs w:val="24"/>
        </w:rPr>
        <w:t xml:space="preserve">rentabilidad generado en la salida de fondos por la variación del valor cuota correspondiente al día de la transacción y el valor cuota de referencia utilizado, deberá ser liquidado contra la cuenta 331.01 </w:t>
      </w:r>
      <w:r w:rsidR="00BC29D4" w:rsidRPr="00643386">
        <w:rPr>
          <w:rFonts w:ascii="Arial Narrow" w:hAnsi="Arial Narrow"/>
          <w:sz w:val="24"/>
          <w:szCs w:val="24"/>
        </w:rPr>
        <w:t>“</w:t>
      </w:r>
      <w:r w:rsidRPr="00643386">
        <w:rPr>
          <w:rFonts w:ascii="Arial Narrow" w:hAnsi="Arial Narrow"/>
          <w:sz w:val="24"/>
          <w:szCs w:val="24"/>
        </w:rPr>
        <w:t>Rentabilidad</w:t>
      </w:r>
      <w:r w:rsidR="00BC29D4" w:rsidRPr="00643386">
        <w:rPr>
          <w:rFonts w:ascii="Arial Narrow" w:hAnsi="Arial Narrow"/>
          <w:sz w:val="24"/>
          <w:szCs w:val="24"/>
        </w:rPr>
        <w:t>”</w:t>
      </w:r>
      <w:r w:rsidRPr="00643386">
        <w:rPr>
          <w:rFonts w:ascii="Arial Narrow" w:hAnsi="Arial Narrow"/>
          <w:sz w:val="24"/>
          <w:szCs w:val="24"/>
        </w:rPr>
        <w:t xml:space="preserve"> del Fondo</w:t>
      </w:r>
      <w:r w:rsidR="00BC29D4" w:rsidRPr="00643386">
        <w:rPr>
          <w:rFonts w:ascii="Arial Narrow" w:hAnsi="Arial Narrow"/>
          <w:sz w:val="24"/>
          <w:szCs w:val="24"/>
        </w:rPr>
        <w:t xml:space="preserve"> de pensiones al que corresponda</w:t>
      </w:r>
      <w:r w:rsidRPr="00643386">
        <w:rPr>
          <w:rFonts w:ascii="Arial Narrow" w:hAnsi="Arial Narrow"/>
          <w:sz w:val="24"/>
          <w:szCs w:val="24"/>
        </w:rPr>
        <w:t>; y</w:t>
      </w:r>
    </w:p>
    <w:p w14:paraId="25FB61C0" w14:textId="1302B298" w:rsidR="0003397E" w:rsidRPr="008F4C3D" w:rsidRDefault="0003397E" w:rsidP="00075378">
      <w:pPr>
        <w:pStyle w:val="Prrafodelista"/>
        <w:numPr>
          <w:ilvl w:val="0"/>
          <w:numId w:val="19"/>
        </w:numPr>
        <w:spacing w:after="0" w:line="240" w:lineRule="auto"/>
        <w:ind w:left="993" w:hanging="284"/>
        <w:contextualSpacing w:val="0"/>
        <w:rPr>
          <w:rFonts w:ascii="Arial Narrow" w:hAnsi="Arial Narrow"/>
          <w:sz w:val="24"/>
          <w:szCs w:val="24"/>
        </w:rPr>
      </w:pPr>
      <w:r w:rsidRPr="008F4C3D">
        <w:rPr>
          <w:rFonts w:ascii="Arial Narrow" w:hAnsi="Arial Narrow"/>
          <w:sz w:val="24"/>
          <w:szCs w:val="24"/>
        </w:rPr>
        <w:t>La disposición aplica para el registro contable en la Contabilidad de</w:t>
      </w:r>
      <w:r w:rsidR="00293A64">
        <w:rPr>
          <w:rFonts w:ascii="Arial Narrow" w:hAnsi="Arial Narrow"/>
          <w:sz w:val="24"/>
          <w:szCs w:val="24"/>
        </w:rPr>
        <w:t xml:space="preserve"> </w:t>
      </w:r>
      <w:r w:rsidRPr="008F4C3D">
        <w:rPr>
          <w:rFonts w:ascii="Arial Narrow" w:hAnsi="Arial Narrow"/>
          <w:sz w:val="24"/>
          <w:szCs w:val="24"/>
        </w:rPr>
        <w:t>l</w:t>
      </w:r>
      <w:r w:rsidR="00293A64">
        <w:rPr>
          <w:rFonts w:ascii="Arial Narrow" w:hAnsi="Arial Narrow"/>
          <w:sz w:val="24"/>
          <w:szCs w:val="24"/>
        </w:rPr>
        <w:t>os</w:t>
      </w:r>
      <w:r w:rsidRPr="008F4C3D">
        <w:rPr>
          <w:rFonts w:ascii="Arial Narrow" w:hAnsi="Arial Narrow"/>
          <w:sz w:val="24"/>
          <w:szCs w:val="24"/>
        </w:rPr>
        <w:t xml:space="preserve"> Fondo</w:t>
      </w:r>
      <w:r w:rsidR="00293A64">
        <w:rPr>
          <w:rFonts w:ascii="Arial Narrow" w:hAnsi="Arial Narrow"/>
          <w:sz w:val="24"/>
          <w:szCs w:val="24"/>
        </w:rPr>
        <w:t>s</w:t>
      </w:r>
      <w:r w:rsidRPr="008F4C3D">
        <w:rPr>
          <w:rFonts w:ascii="Arial Narrow" w:hAnsi="Arial Narrow"/>
          <w:sz w:val="24"/>
          <w:szCs w:val="24"/>
        </w:rPr>
        <w:t xml:space="preserve"> de Pensiones y en la contabilidad de la AFP, en aquellas cuentas que sirven de enlace entre ambas.</w:t>
      </w:r>
    </w:p>
    <w:p w14:paraId="25FB61C1" w14:textId="77777777" w:rsidR="0003397E" w:rsidRPr="008F4C3D" w:rsidRDefault="0003397E" w:rsidP="008F4C3D">
      <w:pPr>
        <w:pStyle w:val="Prrafodelista"/>
        <w:widowControl w:val="0"/>
        <w:tabs>
          <w:tab w:val="left" w:pos="709"/>
        </w:tabs>
        <w:spacing w:after="0" w:line="240" w:lineRule="auto"/>
        <w:ind w:left="0"/>
        <w:contextualSpacing w:val="0"/>
        <w:rPr>
          <w:rFonts w:ascii="Arial Narrow" w:hAnsi="Arial Narrow"/>
          <w:sz w:val="24"/>
          <w:szCs w:val="24"/>
        </w:rPr>
      </w:pPr>
    </w:p>
    <w:p w14:paraId="25FB61C2" w14:textId="51D4954C" w:rsidR="00C856DD" w:rsidRPr="0003397E" w:rsidRDefault="008F4C3D" w:rsidP="008F4C3D">
      <w:pPr>
        <w:pStyle w:val="Prrafodelista"/>
        <w:widowControl w:val="0"/>
        <w:tabs>
          <w:tab w:val="left" w:pos="709"/>
        </w:tabs>
        <w:spacing w:after="0" w:line="240" w:lineRule="auto"/>
        <w:ind w:left="0"/>
        <w:contextualSpacing w:val="0"/>
        <w:rPr>
          <w:rFonts w:ascii="Arial Narrow" w:hAnsi="Arial Narrow"/>
          <w:sz w:val="24"/>
        </w:rPr>
      </w:pPr>
      <w:r>
        <w:rPr>
          <w:rFonts w:ascii="Arial Narrow" w:hAnsi="Arial Narrow"/>
          <w:sz w:val="24"/>
        </w:rPr>
        <w:t xml:space="preserve">A efectos de estas </w:t>
      </w:r>
      <w:r w:rsidR="00075378">
        <w:rPr>
          <w:rFonts w:ascii="Arial Narrow" w:hAnsi="Arial Narrow"/>
          <w:sz w:val="24"/>
        </w:rPr>
        <w:t>N</w:t>
      </w:r>
      <w:r>
        <w:rPr>
          <w:rFonts w:ascii="Arial Narrow" w:hAnsi="Arial Narrow"/>
          <w:sz w:val="24"/>
        </w:rPr>
        <w:t xml:space="preserve">ormas deberá entenderse como fondos salientes aquellos </w:t>
      </w:r>
      <w:r w:rsidR="00C856DD" w:rsidRPr="0003397E">
        <w:rPr>
          <w:rFonts w:ascii="Arial Narrow" w:hAnsi="Arial Narrow"/>
          <w:sz w:val="24"/>
        </w:rPr>
        <w:t xml:space="preserve">provenientes de </w:t>
      </w:r>
      <w:r>
        <w:rPr>
          <w:rFonts w:ascii="Arial Narrow" w:hAnsi="Arial Narrow"/>
          <w:sz w:val="24"/>
        </w:rPr>
        <w:t>las inconsistencias por cotizaciones no identificadas</w:t>
      </w:r>
      <w:r w:rsidR="00C856DD" w:rsidRPr="0003397E">
        <w:rPr>
          <w:rFonts w:ascii="Arial Narrow" w:hAnsi="Arial Narrow"/>
          <w:sz w:val="24"/>
        </w:rPr>
        <w:t>, así como el cierre de la CIAP en la administradora debido a traspasos entre AFP</w:t>
      </w:r>
      <w:r w:rsidR="00A2210B">
        <w:rPr>
          <w:rFonts w:ascii="Arial Narrow" w:hAnsi="Arial Narrow"/>
          <w:sz w:val="24"/>
        </w:rPr>
        <w:t>, traslado de afiliados entre Fondos de Pensiones</w:t>
      </w:r>
      <w:r w:rsidR="00C856DD" w:rsidRPr="0003397E">
        <w:rPr>
          <w:rFonts w:ascii="Arial Narrow" w:hAnsi="Arial Narrow"/>
          <w:sz w:val="24"/>
        </w:rPr>
        <w:t>, anulaciones de contratos, devolución de saldos, pago de exc</w:t>
      </w:r>
      <w:r>
        <w:rPr>
          <w:rFonts w:ascii="Arial Narrow" w:hAnsi="Arial Narrow"/>
          <w:sz w:val="24"/>
        </w:rPr>
        <w:t xml:space="preserve">edente de libre disponibilidad, </w:t>
      </w:r>
      <w:r w:rsidR="00C856DD" w:rsidRPr="0003397E">
        <w:rPr>
          <w:rFonts w:ascii="Arial Narrow" w:hAnsi="Arial Narrow"/>
          <w:sz w:val="24"/>
        </w:rPr>
        <w:t xml:space="preserve">devolución anual de saldos de CIAP a afiliados </w:t>
      </w:r>
      <w:r w:rsidR="00BC29D4" w:rsidRPr="0003397E">
        <w:rPr>
          <w:rFonts w:ascii="Arial Narrow" w:hAnsi="Arial Narrow"/>
          <w:sz w:val="24"/>
        </w:rPr>
        <w:t>pensionados,</w:t>
      </w:r>
      <w:r w:rsidR="00C856DD" w:rsidRPr="0003397E">
        <w:rPr>
          <w:rFonts w:ascii="Arial Narrow" w:hAnsi="Arial Narrow"/>
          <w:sz w:val="24"/>
        </w:rPr>
        <w:t xml:space="preserve"> así como pago por herencia.</w:t>
      </w:r>
    </w:p>
    <w:p w14:paraId="25FB61C3" w14:textId="77777777" w:rsidR="00C856DD" w:rsidRPr="00A2210B" w:rsidRDefault="00C856DD" w:rsidP="008F4C3D">
      <w:pPr>
        <w:spacing w:after="0"/>
        <w:rPr>
          <w:rFonts w:ascii="Arial Narrow" w:hAnsi="Arial Narrow"/>
          <w:sz w:val="24"/>
        </w:rPr>
      </w:pPr>
    </w:p>
    <w:p w14:paraId="25FB61C4" w14:textId="77777777" w:rsidR="00EC2067" w:rsidRPr="00BC29D4" w:rsidRDefault="008F4C3D" w:rsidP="00EC2067">
      <w:pPr>
        <w:pStyle w:val="Default"/>
        <w:widowControl w:val="0"/>
        <w:tabs>
          <w:tab w:val="left" w:pos="3784"/>
          <w:tab w:val="center" w:pos="5043"/>
        </w:tabs>
        <w:jc w:val="center"/>
        <w:rPr>
          <w:rFonts w:ascii="Arial Narrow" w:hAnsi="Arial Narrow"/>
          <w:b/>
          <w:bCs/>
          <w:color w:val="auto"/>
          <w:lang w:val="es-SV"/>
        </w:rPr>
      </w:pPr>
      <w:r w:rsidRPr="00BC29D4">
        <w:rPr>
          <w:rFonts w:ascii="Arial Narrow" w:hAnsi="Arial Narrow"/>
          <w:b/>
          <w:bCs/>
          <w:color w:val="auto"/>
          <w:lang w:val="es-SV"/>
        </w:rPr>
        <w:t>CAPÍTULO III</w:t>
      </w:r>
    </w:p>
    <w:p w14:paraId="25FB61C5" w14:textId="77777777" w:rsidR="00EC2067" w:rsidRPr="00BC29D4" w:rsidRDefault="00EC2067" w:rsidP="00EC2067">
      <w:pPr>
        <w:pStyle w:val="Default"/>
        <w:widowControl w:val="0"/>
        <w:tabs>
          <w:tab w:val="left" w:pos="3784"/>
          <w:tab w:val="center" w:pos="5043"/>
        </w:tabs>
        <w:jc w:val="center"/>
        <w:rPr>
          <w:rFonts w:ascii="Arial Narrow" w:hAnsi="Arial Narrow"/>
          <w:b/>
          <w:bCs/>
          <w:color w:val="auto"/>
          <w:lang w:val="es-SV"/>
        </w:rPr>
      </w:pPr>
      <w:r w:rsidRPr="00BC29D4">
        <w:rPr>
          <w:rFonts w:ascii="Arial Narrow" w:hAnsi="Arial Narrow"/>
          <w:b/>
          <w:bCs/>
          <w:color w:val="auto"/>
          <w:lang w:val="es-SV"/>
        </w:rPr>
        <w:t xml:space="preserve">OTRAS DISPOSICIONES Y VIGENCIA </w:t>
      </w:r>
    </w:p>
    <w:p w14:paraId="25FB61C6" w14:textId="77777777" w:rsidR="00EC2067" w:rsidRPr="00BC29D4" w:rsidRDefault="00EC2067" w:rsidP="00EC2067">
      <w:pPr>
        <w:pStyle w:val="Prrafodelista"/>
        <w:widowControl w:val="0"/>
        <w:tabs>
          <w:tab w:val="left" w:pos="709"/>
          <w:tab w:val="left" w:pos="851"/>
          <w:tab w:val="left" w:pos="3784"/>
          <w:tab w:val="center" w:pos="5043"/>
        </w:tabs>
        <w:spacing w:after="0" w:line="240" w:lineRule="auto"/>
        <w:ind w:left="0"/>
        <w:contextualSpacing w:val="0"/>
        <w:rPr>
          <w:rFonts w:ascii="Arial Narrow" w:hAnsi="Arial Narrow"/>
          <w:b/>
          <w:sz w:val="24"/>
          <w:szCs w:val="24"/>
        </w:rPr>
      </w:pPr>
    </w:p>
    <w:p w14:paraId="25FB61C7" w14:textId="77777777" w:rsidR="00EC2067" w:rsidRPr="00BC29D4" w:rsidRDefault="00EC2067" w:rsidP="00EC2067">
      <w:pPr>
        <w:pStyle w:val="Sinespaciado"/>
        <w:widowControl w:val="0"/>
        <w:tabs>
          <w:tab w:val="left" w:pos="4820"/>
        </w:tabs>
        <w:rPr>
          <w:rFonts w:ascii="Arial Narrow" w:hAnsi="Arial Narrow"/>
          <w:b/>
          <w:sz w:val="24"/>
          <w:szCs w:val="24"/>
          <w:lang w:val="es-SV"/>
        </w:rPr>
      </w:pPr>
      <w:r w:rsidRPr="00BC29D4">
        <w:rPr>
          <w:rFonts w:ascii="Arial Narrow" w:hAnsi="Arial Narrow"/>
          <w:b/>
          <w:sz w:val="24"/>
          <w:szCs w:val="24"/>
          <w:lang w:val="es-SV"/>
        </w:rPr>
        <w:t>Sanciones</w:t>
      </w:r>
    </w:p>
    <w:p w14:paraId="25FB61C8" w14:textId="77777777" w:rsidR="00EC2067" w:rsidRPr="00BC29D4" w:rsidRDefault="00EC2067" w:rsidP="00EC2067">
      <w:pPr>
        <w:pStyle w:val="Prrafodelista"/>
        <w:widowControl w:val="0"/>
        <w:numPr>
          <w:ilvl w:val="0"/>
          <w:numId w:val="3"/>
        </w:numPr>
        <w:tabs>
          <w:tab w:val="left" w:pos="709"/>
          <w:tab w:val="left" w:pos="851"/>
        </w:tabs>
        <w:spacing w:after="0" w:line="240" w:lineRule="auto"/>
        <w:ind w:left="0" w:firstLine="0"/>
        <w:contextualSpacing w:val="0"/>
        <w:rPr>
          <w:rFonts w:ascii="Arial Narrow" w:hAnsi="Arial Narrow"/>
          <w:b/>
          <w:sz w:val="24"/>
          <w:szCs w:val="24"/>
        </w:rPr>
      </w:pPr>
      <w:r w:rsidRPr="00BC29D4">
        <w:rPr>
          <w:rFonts w:ascii="Arial Narrow" w:hAnsi="Arial Narrow"/>
          <w:sz w:val="24"/>
          <w:szCs w:val="24"/>
        </w:rPr>
        <w:t>Los incumplimientos a las disposiciones contenidas en la presentes Normas, serán sancionados</w:t>
      </w:r>
      <w:r w:rsidR="00531BA8">
        <w:rPr>
          <w:rFonts w:ascii="Arial Narrow" w:hAnsi="Arial Narrow"/>
          <w:sz w:val="24"/>
          <w:szCs w:val="24"/>
        </w:rPr>
        <w:t xml:space="preserve"> </w:t>
      </w:r>
      <w:r w:rsidRPr="00BC29D4">
        <w:rPr>
          <w:rFonts w:ascii="Arial Narrow" w:hAnsi="Arial Narrow"/>
          <w:sz w:val="24"/>
          <w:szCs w:val="24"/>
        </w:rPr>
        <w:t>de conformidad a lo establecido en la Ley de Supervisión y Regulación del Sistema Financiero.</w:t>
      </w:r>
    </w:p>
    <w:p w14:paraId="25FB61C9" w14:textId="77777777" w:rsidR="00EC2067" w:rsidRDefault="00EC2067" w:rsidP="00EC2067">
      <w:pPr>
        <w:pStyle w:val="Default"/>
        <w:widowControl w:val="0"/>
        <w:tabs>
          <w:tab w:val="left" w:pos="3784"/>
          <w:tab w:val="center" w:pos="5043"/>
        </w:tabs>
        <w:jc w:val="both"/>
        <w:rPr>
          <w:rFonts w:ascii="Arial Narrow" w:hAnsi="Arial Narrow"/>
          <w:b/>
          <w:color w:val="auto"/>
          <w:lang w:val="es-SV"/>
        </w:rPr>
      </w:pPr>
    </w:p>
    <w:p w14:paraId="25FB61CA" w14:textId="77777777" w:rsidR="00F846D2" w:rsidRPr="00285CF6" w:rsidRDefault="00F846D2" w:rsidP="00F846D2">
      <w:pPr>
        <w:autoSpaceDE w:val="0"/>
        <w:autoSpaceDN w:val="0"/>
        <w:adjustRightInd w:val="0"/>
        <w:spacing w:after="0" w:line="240" w:lineRule="auto"/>
        <w:jc w:val="left"/>
        <w:rPr>
          <w:rFonts w:ascii="Arial Narrow" w:hAnsi="Arial Narrow" w:cs="Arial"/>
          <w:color w:val="000000"/>
          <w:sz w:val="24"/>
          <w:szCs w:val="23"/>
          <w:lang w:val="es-MX"/>
        </w:rPr>
      </w:pPr>
      <w:r w:rsidRPr="00285CF6">
        <w:rPr>
          <w:rFonts w:ascii="Arial Narrow" w:hAnsi="Arial Narrow" w:cs="Arial"/>
          <w:b/>
          <w:bCs/>
          <w:color w:val="000000"/>
          <w:sz w:val="24"/>
          <w:szCs w:val="23"/>
          <w:lang w:val="es-MX"/>
        </w:rPr>
        <w:t xml:space="preserve">Derogatoria </w:t>
      </w:r>
    </w:p>
    <w:p w14:paraId="25FB61CB" w14:textId="6179C5AB" w:rsidR="00F846D2" w:rsidRPr="00BC41B7" w:rsidRDefault="00F846D2" w:rsidP="00BC41B7">
      <w:pPr>
        <w:pStyle w:val="Prrafodelista"/>
        <w:widowControl w:val="0"/>
        <w:numPr>
          <w:ilvl w:val="0"/>
          <w:numId w:val="3"/>
        </w:numPr>
        <w:tabs>
          <w:tab w:val="left" w:pos="709"/>
          <w:tab w:val="left" w:pos="851"/>
        </w:tabs>
        <w:spacing w:after="0" w:line="240" w:lineRule="auto"/>
        <w:ind w:left="0" w:firstLine="0"/>
        <w:contextualSpacing w:val="0"/>
        <w:rPr>
          <w:rFonts w:ascii="Arial Narrow" w:hAnsi="Arial Narrow"/>
          <w:sz w:val="24"/>
          <w:szCs w:val="24"/>
        </w:rPr>
      </w:pPr>
      <w:r w:rsidRPr="00BC41B7">
        <w:rPr>
          <w:rFonts w:ascii="Arial Narrow" w:hAnsi="Arial Narrow"/>
          <w:sz w:val="24"/>
          <w:szCs w:val="24"/>
        </w:rPr>
        <w:t>Las presentes</w:t>
      </w:r>
      <w:r w:rsidR="00BC41B7">
        <w:rPr>
          <w:rFonts w:ascii="Arial Narrow" w:hAnsi="Arial Narrow"/>
          <w:sz w:val="24"/>
          <w:szCs w:val="24"/>
        </w:rPr>
        <w:t xml:space="preserve"> Normas derogan el “Instructivo Uso de Valor Cuota de Referencia para los Flujos de Efectivo Salientes de los Fondos de Pensiones</w:t>
      </w:r>
      <w:r w:rsidRPr="00BC41B7">
        <w:rPr>
          <w:rFonts w:ascii="Arial Narrow" w:hAnsi="Arial Narrow"/>
          <w:sz w:val="24"/>
          <w:szCs w:val="24"/>
        </w:rPr>
        <w:t>” (SAP 02/200</w:t>
      </w:r>
      <w:r w:rsidR="004F374D">
        <w:rPr>
          <w:rFonts w:ascii="Arial Narrow" w:hAnsi="Arial Narrow"/>
          <w:sz w:val="24"/>
          <w:szCs w:val="24"/>
        </w:rPr>
        <w:t>0</w:t>
      </w:r>
      <w:r w:rsidRPr="00BC41B7">
        <w:rPr>
          <w:rFonts w:ascii="Arial Narrow" w:hAnsi="Arial Narrow"/>
          <w:sz w:val="24"/>
          <w:szCs w:val="24"/>
        </w:rPr>
        <w:t>), aprobado el do</w:t>
      </w:r>
      <w:r w:rsidR="004F374D">
        <w:rPr>
          <w:rFonts w:ascii="Arial Narrow" w:hAnsi="Arial Narrow"/>
          <w:sz w:val="24"/>
          <w:szCs w:val="24"/>
        </w:rPr>
        <w:t>s</w:t>
      </w:r>
      <w:r w:rsidRPr="00BC41B7">
        <w:rPr>
          <w:rFonts w:ascii="Arial Narrow" w:hAnsi="Arial Narrow"/>
          <w:sz w:val="24"/>
          <w:szCs w:val="24"/>
        </w:rPr>
        <w:t xml:space="preserve"> de </w:t>
      </w:r>
      <w:r w:rsidR="004F374D">
        <w:rPr>
          <w:rFonts w:ascii="Arial Narrow" w:hAnsi="Arial Narrow"/>
          <w:sz w:val="24"/>
          <w:szCs w:val="24"/>
        </w:rPr>
        <w:t xml:space="preserve">junio de </w:t>
      </w:r>
      <w:r w:rsidRPr="00BC41B7">
        <w:rPr>
          <w:rFonts w:ascii="Arial Narrow" w:hAnsi="Arial Narrow"/>
          <w:sz w:val="24"/>
          <w:szCs w:val="24"/>
        </w:rPr>
        <w:t xml:space="preserve">dos mil, por </w:t>
      </w:r>
      <w:r w:rsidR="000648D6">
        <w:rPr>
          <w:rFonts w:ascii="Arial Narrow" w:hAnsi="Arial Narrow"/>
          <w:sz w:val="24"/>
          <w:szCs w:val="24"/>
        </w:rPr>
        <w:t xml:space="preserve">el Superintendente </w:t>
      </w:r>
      <w:r w:rsidRPr="00BC41B7">
        <w:rPr>
          <w:rFonts w:ascii="Arial Narrow" w:hAnsi="Arial Narrow"/>
          <w:sz w:val="24"/>
          <w:szCs w:val="24"/>
        </w:rPr>
        <w:t>de Pensiones, cuya Ley Orgánica se derogó por Decreto Legislativo No. 592 que contiene la Ley de Supervisión y Regulación del Sistema Financiero, publicada en Diario Oficial No. 23, Tomo No. 390, de fecha 2 de febrero de 2011.</w:t>
      </w:r>
    </w:p>
    <w:p w14:paraId="25FB61CC" w14:textId="77777777" w:rsidR="00F846D2" w:rsidRPr="00BC41B7" w:rsidRDefault="00F846D2" w:rsidP="00EC2067">
      <w:pPr>
        <w:pStyle w:val="Default"/>
        <w:widowControl w:val="0"/>
        <w:tabs>
          <w:tab w:val="left" w:pos="3784"/>
          <w:tab w:val="center" w:pos="5043"/>
        </w:tabs>
        <w:jc w:val="both"/>
        <w:rPr>
          <w:rFonts w:ascii="Arial Narrow" w:hAnsi="Arial Narrow" w:cstheme="minorBidi"/>
          <w:b/>
          <w:color w:val="auto"/>
          <w:lang w:val="es-SV"/>
        </w:rPr>
      </w:pPr>
    </w:p>
    <w:p w14:paraId="25FB61CD" w14:textId="77777777" w:rsidR="00EC2067" w:rsidRPr="00BC41B7" w:rsidRDefault="00EC2067" w:rsidP="00EC2067">
      <w:pPr>
        <w:pStyle w:val="Default"/>
        <w:widowControl w:val="0"/>
        <w:tabs>
          <w:tab w:val="left" w:pos="3784"/>
          <w:tab w:val="center" w:pos="5043"/>
        </w:tabs>
        <w:jc w:val="both"/>
        <w:rPr>
          <w:rFonts w:ascii="Arial Narrow" w:hAnsi="Arial Narrow" w:cstheme="minorBidi"/>
          <w:b/>
          <w:color w:val="auto"/>
          <w:lang w:val="es-SV"/>
        </w:rPr>
      </w:pPr>
      <w:r w:rsidRPr="00BC41B7">
        <w:rPr>
          <w:rFonts w:ascii="Arial Narrow" w:hAnsi="Arial Narrow" w:cstheme="minorBidi"/>
          <w:b/>
          <w:color w:val="auto"/>
          <w:lang w:val="es-SV"/>
        </w:rPr>
        <w:t xml:space="preserve">Aspectos no previstos </w:t>
      </w:r>
    </w:p>
    <w:p w14:paraId="25FB61CE" w14:textId="77777777" w:rsidR="00EC2067" w:rsidRPr="00BC29D4" w:rsidRDefault="00EC2067" w:rsidP="00EC2067">
      <w:pPr>
        <w:pStyle w:val="Prrafodelista"/>
        <w:widowControl w:val="0"/>
        <w:numPr>
          <w:ilvl w:val="0"/>
          <w:numId w:val="3"/>
        </w:numPr>
        <w:tabs>
          <w:tab w:val="left" w:pos="709"/>
          <w:tab w:val="left" w:pos="851"/>
        </w:tabs>
        <w:spacing w:after="0" w:line="240" w:lineRule="auto"/>
        <w:ind w:left="0" w:firstLine="0"/>
        <w:contextualSpacing w:val="0"/>
        <w:rPr>
          <w:rFonts w:ascii="Arial Narrow" w:hAnsi="Arial Narrow"/>
          <w:sz w:val="24"/>
          <w:szCs w:val="24"/>
        </w:rPr>
      </w:pPr>
      <w:r w:rsidRPr="00BC29D4">
        <w:rPr>
          <w:rFonts w:ascii="Arial Narrow" w:hAnsi="Arial Narrow"/>
          <w:sz w:val="24"/>
          <w:szCs w:val="24"/>
        </w:rPr>
        <w:t xml:space="preserve">Los aspectos no previstos en materia de regulación en las presentes Normas, serán resueltos por el Banco Central por medio de su Comité de Normas. </w:t>
      </w:r>
    </w:p>
    <w:p w14:paraId="25FB61CF" w14:textId="77777777" w:rsidR="00EC2067" w:rsidRPr="00BC29D4" w:rsidRDefault="00EC2067" w:rsidP="00EC2067">
      <w:pPr>
        <w:pStyle w:val="Default"/>
        <w:widowControl w:val="0"/>
        <w:tabs>
          <w:tab w:val="left" w:pos="3784"/>
          <w:tab w:val="center" w:pos="5043"/>
        </w:tabs>
        <w:jc w:val="both"/>
        <w:rPr>
          <w:rFonts w:ascii="Arial Narrow" w:hAnsi="Arial Narrow"/>
          <w:b/>
          <w:color w:val="auto"/>
          <w:lang w:val="es-SV"/>
        </w:rPr>
      </w:pPr>
    </w:p>
    <w:p w14:paraId="25FB61D0" w14:textId="77777777" w:rsidR="00EC2067" w:rsidRPr="00BC29D4" w:rsidRDefault="00EC2067" w:rsidP="00EC2067">
      <w:pPr>
        <w:pStyle w:val="Default"/>
        <w:widowControl w:val="0"/>
        <w:tabs>
          <w:tab w:val="left" w:pos="3784"/>
          <w:tab w:val="center" w:pos="5043"/>
        </w:tabs>
        <w:jc w:val="both"/>
        <w:rPr>
          <w:rFonts w:ascii="Arial Narrow" w:hAnsi="Arial Narrow"/>
          <w:b/>
          <w:color w:val="auto"/>
          <w:lang w:val="es-SV"/>
        </w:rPr>
      </w:pPr>
      <w:r w:rsidRPr="00BC29D4">
        <w:rPr>
          <w:rFonts w:ascii="Arial Narrow" w:hAnsi="Arial Narrow"/>
          <w:b/>
          <w:color w:val="auto"/>
          <w:lang w:val="es-SV"/>
        </w:rPr>
        <w:t xml:space="preserve">Vigencia </w:t>
      </w:r>
    </w:p>
    <w:p w14:paraId="25FB61D1" w14:textId="77777777" w:rsidR="00CD5154" w:rsidRPr="00CD5154" w:rsidRDefault="00CD5154" w:rsidP="00CD5154">
      <w:pPr>
        <w:pStyle w:val="Prrafodelista"/>
        <w:widowControl w:val="0"/>
        <w:numPr>
          <w:ilvl w:val="0"/>
          <w:numId w:val="3"/>
        </w:numPr>
        <w:tabs>
          <w:tab w:val="left" w:pos="709"/>
          <w:tab w:val="left" w:pos="851"/>
        </w:tabs>
        <w:spacing w:after="0" w:line="240" w:lineRule="auto"/>
        <w:ind w:left="0" w:firstLine="0"/>
        <w:contextualSpacing w:val="0"/>
        <w:rPr>
          <w:rFonts w:ascii="Arial Narrow" w:hAnsi="Arial Narrow"/>
          <w:sz w:val="24"/>
          <w:szCs w:val="24"/>
        </w:rPr>
      </w:pPr>
      <w:r w:rsidRPr="00CD5154">
        <w:rPr>
          <w:rFonts w:ascii="Arial Narrow" w:hAnsi="Arial Narrow"/>
          <w:sz w:val="24"/>
          <w:szCs w:val="24"/>
        </w:rPr>
        <w:t>Las presentes Normas entrarán en vigencia a partir del ___de __ del año dos mil dieci</w:t>
      </w:r>
      <w:r w:rsidR="0081292D">
        <w:rPr>
          <w:rFonts w:ascii="Arial Narrow" w:hAnsi="Arial Narrow"/>
          <w:sz w:val="24"/>
          <w:szCs w:val="24"/>
        </w:rPr>
        <w:t>nueve</w:t>
      </w:r>
      <w:r w:rsidRPr="00CD5154">
        <w:rPr>
          <w:rFonts w:ascii="Arial Narrow" w:hAnsi="Arial Narrow"/>
          <w:sz w:val="24"/>
          <w:szCs w:val="24"/>
        </w:rPr>
        <w:t xml:space="preserve">. </w:t>
      </w:r>
    </w:p>
    <w:p w14:paraId="25FB61D2" w14:textId="77777777" w:rsidR="00EC2067" w:rsidRPr="00CD5154" w:rsidRDefault="00EC2067" w:rsidP="00EC2067">
      <w:pPr>
        <w:rPr>
          <w:rFonts w:ascii="Arial Narrow" w:hAnsi="Arial Narrow"/>
          <w:sz w:val="24"/>
          <w:szCs w:val="24"/>
          <w:lang w:val="es-MX"/>
        </w:rPr>
      </w:pPr>
    </w:p>
    <w:p w14:paraId="25FB61D3" w14:textId="77777777" w:rsidR="001154AA" w:rsidRDefault="001154AA"/>
    <w:sectPr w:rsidR="001154AA" w:rsidSect="00992E78">
      <w:headerReference w:type="default" r:id="rId11"/>
      <w:footerReference w:type="default" r:id="rId1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905F" w14:textId="77777777" w:rsidR="000B76ED" w:rsidRDefault="000B76ED" w:rsidP="00EC2067">
      <w:pPr>
        <w:spacing w:after="0" w:line="240" w:lineRule="auto"/>
      </w:pPr>
      <w:r>
        <w:separator/>
      </w:r>
    </w:p>
  </w:endnote>
  <w:endnote w:type="continuationSeparator" w:id="0">
    <w:p w14:paraId="41CDC654" w14:textId="77777777" w:rsidR="000B76ED" w:rsidRDefault="000B76ED" w:rsidP="00EC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61DC" w14:textId="6BDFC6AF" w:rsidR="00C22D6D" w:rsidRDefault="0048309F" w:rsidP="00B01FB7">
    <w:pPr>
      <w:pStyle w:val="Piedepgina"/>
      <w:jc w:val="right"/>
    </w:pPr>
    <w:r w:rsidRPr="00B44778">
      <w:rPr>
        <w:rFonts w:ascii="Arial Narrow" w:hAnsi="Arial Narrow" w:cs="Arial"/>
        <w:noProof/>
        <w:sz w:val="20"/>
        <w:szCs w:val="20"/>
        <w:lang w:val="es-MX" w:eastAsia="es-MX"/>
      </w:rPr>
      <mc:AlternateContent>
        <mc:Choice Requires="wps">
          <w:drawing>
            <wp:anchor distT="0" distB="0" distL="114300" distR="114300" simplePos="0" relativeHeight="251660288" behindDoc="0" locked="0" layoutInCell="1" allowOverlap="1" wp14:anchorId="25FB61E2" wp14:editId="25FB61E3">
              <wp:simplePos x="0" y="0"/>
              <wp:positionH relativeFrom="column">
                <wp:posOffset>-40943</wp:posOffset>
              </wp:positionH>
              <wp:positionV relativeFrom="paragraph">
                <wp:posOffset>17827</wp:posOffset>
              </wp:positionV>
              <wp:extent cx="5184140" cy="0"/>
              <wp:effectExtent l="12700" t="8890" r="13335" b="10160"/>
              <wp:wrapNone/>
              <wp:docPr id="1"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6C12DB" id="_x0000_t32" coordsize="21600,21600" o:spt="32" o:oned="t" path="m,l21600,21600e" filled="f">
              <v:path arrowok="t" fillok="f" o:connecttype="none"/>
              <o:lock v:ext="edit" shapetype="t"/>
            </v:shapetype>
            <v:shape id="Conector recto de flecha 10" o:spid="_x0000_s1026" type="#_x0000_t32" style="position:absolute;margin-left:-3.2pt;margin-top:1.4pt;width:40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" strokecolor="#4f81bd">
              <v:shadow color="#868686"/>
            </v:shape>
          </w:pict>
        </mc:Fallback>
      </mc:AlternateContent>
    </w:r>
    <w:r w:rsidRPr="00E744E7">
      <w:rPr>
        <w:rFonts w:ascii="Arial Narrow" w:hAnsi="Arial Narrow"/>
        <w:sz w:val="20"/>
      </w:rPr>
      <w:fldChar w:fldCharType="begin"/>
    </w:r>
    <w:r w:rsidRPr="00E744E7">
      <w:rPr>
        <w:rFonts w:ascii="Arial Narrow" w:hAnsi="Arial Narrow"/>
        <w:sz w:val="20"/>
      </w:rPr>
      <w:instrText>PAGE</w:instrText>
    </w:r>
    <w:r w:rsidRPr="00E744E7">
      <w:rPr>
        <w:rFonts w:ascii="Arial Narrow" w:hAnsi="Arial Narrow"/>
        <w:sz w:val="20"/>
      </w:rPr>
      <w:fldChar w:fldCharType="separate"/>
    </w:r>
    <w:r w:rsidR="005D5D5F">
      <w:rPr>
        <w:rFonts w:ascii="Arial Narrow" w:hAnsi="Arial Narrow"/>
        <w:noProof/>
        <w:sz w:val="20"/>
      </w:rPr>
      <w:t>1</w:t>
    </w:r>
    <w:r w:rsidRPr="00E744E7">
      <w:rPr>
        <w:rFonts w:ascii="Arial Narrow" w:hAnsi="Arial Narrow"/>
        <w:sz w:val="20"/>
      </w:rPr>
      <w:fldChar w:fldCharType="end"/>
    </w:r>
    <w:r w:rsidRPr="00E744E7">
      <w:rPr>
        <w:rFonts w:ascii="Arial Narrow" w:hAnsi="Arial Narrow"/>
        <w:sz w:val="20"/>
      </w:rPr>
      <w:t>/</w:t>
    </w:r>
    <w:r w:rsidRPr="00E744E7">
      <w:rPr>
        <w:rFonts w:ascii="Arial Narrow" w:hAnsi="Arial Narrow"/>
        <w:sz w:val="20"/>
      </w:rPr>
      <w:fldChar w:fldCharType="begin"/>
    </w:r>
    <w:r w:rsidRPr="00E744E7">
      <w:rPr>
        <w:rFonts w:ascii="Arial Narrow" w:hAnsi="Arial Narrow"/>
        <w:sz w:val="20"/>
      </w:rPr>
      <w:instrText>NUMPAGES</w:instrText>
    </w:r>
    <w:r w:rsidRPr="00E744E7">
      <w:rPr>
        <w:rFonts w:ascii="Arial Narrow" w:hAnsi="Arial Narrow"/>
        <w:sz w:val="20"/>
      </w:rPr>
      <w:fldChar w:fldCharType="separate"/>
    </w:r>
    <w:r w:rsidR="005D5D5F">
      <w:rPr>
        <w:rFonts w:ascii="Arial Narrow" w:hAnsi="Arial Narrow"/>
        <w:noProof/>
        <w:sz w:val="20"/>
      </w:rPr>
      <w:t>1</w:t>
    </w:r>
    <w:r w:rsidRPr="00E744E7">
      <w:rPr>
        <w:rFonts w:ascii="Arial Narrow" w:hAnsi="Arial Narrow"/>
        <w:sz w:val="20"/>
      </w:rPr>
      <w:fldChar w:fldCharType="end"/>
    </w:r>
  </w:p>
  <w:p w14:paraId="25FB61DD" w14:textId="77777777" w:rsidR="00C22D6D" w:rsidRDefault="005D5D5F" w:rsidP="00005A60">
    <w:pPr>
      <w:pStyle w:val="Piedepgina"/>
      <w:widowControl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7833" w14:textId="77777777" w:rsidR="000B76ED" w:rsidRDefault="000B76ED" w:rsidP="00EC2067">
      <w:pPr>
        <w:spacing w:after="0" w:line="240" w:lineRule="auto"/>
      </w:pPr>
      <w:r>
        <w:separator/>
      </w:r>
    </w:p>
  </w:footnote>
  <w:footnote w:type="continuationSeparator" w:id="0">
    <w:p w14:paraId="4C8AFB8C" w14:textId="77777777" w:rsidR="000B76ED" w:rsidRDefault="000B76ED" w:rsidP="00EC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61D8" w14:textId="77777777" w:rsidR="00C22D6D" w:rsidRPr="00E22609" w:rsidRDefault="00857257" w:rsidP="00C856DD">
    <w:pPr>
      <w:pStyle w:val="Default"/>
      <w:ind w:right="1325"/>
      <w:rPr>
        <w:rFonts w:ascii="Arial Narrow" w:hAnsi="Arial Narrow"/>
        <w:b/>
        <w:color w:val="auto"/>
        <w:sz w:val="20"/>
        <w:szCs w:val="20"/>
        <w:lang w:val="es-SV"/>
      </w:rPr>
    </w:pPr>
    <w:r w:rsidRPr="009E729F">
      <w:rPr>
        <w:noProof/>
        <w:color w:val="333333"/>
        <w:sz w:val="18"/>
        <w:szCs w:val="18"/>
        <w:lang w:val="es-MX" w:eastAsia="es-MX"/>
      </w:rPr>
      <w:drawing>
        <wp:anchor distT="0" distB="0" distL="114300" distR="114300" simplePos="0" relativeHeight="251662336" behindDoc="0" locked="0" layoutInCell="1" allowOverlap="1" wp14:anchorId="25FB61DE" wp14:editId="25FB61DF">
          <wp:simplePos x="0" y="0"/>
          <wp:positionH relativeFrom="column">
            <wp:posOffset>4515485</wp:posOffset>
          </wp:positionH>
          <wp:positionV relativeFrom="paragraph">
            <wp:posOffset>-252730</wp:posOffset>
          </wp:positionV>
          <wp:extent cx="1310640" cy="812800"/>
          <wp:effectExtent l="0" t="0" r="3810" b="0"/>
          <wp:wrapSquare wrapText="bothSides"/>
          <wp:docPr id="3" name="Imagen 3"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6DD" w:rsidRPr="00C856DD">
      <w:rPr>
        <w:rFonts w:ascii="Arial Narrow" w:hAnsi="Arial Narrow" w:cstheme="minorBidi"/>
        <w:b/>
        <w:noProof/>
        <w:color w:val="auto"/>
        <w:sz w:val="20"/>
        <w:szCs w:val="20"/>
        <w:lang w:val="es-SV" w:eastAsia="es-SV"/>
      </w:rPr>
      <w:t>NORMAS TÉCNICAS PARA EL USO DE VALOR CUOTA DE REFERENCIA PARA FLUJOS DE EFECTIVO SALIENTES DE LOS FONDOS DE PENSIONES</w:t>
    </w:r>
  </w:p>
  <w:p w14:paraId="25FB61D9" w14:textId="77777777" w:rsidR="00C22D6D" w:rsidRPr="00593DCB" w:rsidRDefault="0048309F" w:rsidP="000D44CA">
    <w:pPr>
      <w:pStyle w:val="Encabezado"/>
      <w:rPr>
        <w:rStyle w:val="Estilo1"/>
        <w:rFonts w:eastAsiaTheme="minorEastAsia"/>
        <w:b w:val="0"/>
        <w:szCs w:val="20"/>
      </w:rPr>
    </w:pPr>
    <w:r w:rsidRPr="00593DCB">
      <w:rPr>
        <w:rStyle w:val="Estilo1"/>
        <w:rFonts w:eastAsiaTheme="minorEastAsia"/>
        <w:szCs w:val="20"/>
      </w:rPr>
      <w:t>“Versión para comentarios”</w:t>
    </w:r>
  </w:p>
  <w:p w14:paraId="25FB61DA" w14:textId="77777777" w:rsidR="00C22D6D" w:rsidRPr="00B409BB" w:rsidRDefault="00EC2067" w:rsidP="00B409BB">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12</w:t>
    </w:r>
    <w:r w:rsidR="0048309F" w:rsidRPr="00593DCB">
      <w:rPr>
        <w:rFonts w:ascii="Arial Narrow" w:hAnsi="Arial Narrow"/>
        <w:sz w:val="20"/>
        <w:szCs w:val="20"/>
        <w:lang w:val="es-MX"/>
      </w:rPr>
      <w:t>-</w:t>
    </w:r>
    <w:r>
      <w:rPr>
        <w:rFonts w:ascii="Arial Narrow" w:hAnsi="Arial Narrow"/>
        <w:sz w:val="20"/>
        <w:szCs w:val="20"/>
      </w:rPr>
      <w:t>04</w:t>
    </w:r>
    <w:r w:rsidR="0048309F" w:rsidRPr="00593DCB">
      <w:rPr>
        <w:rFonts w:ascii="Arial Narrow" w:hAnsi="Arial Narrow"/>
        <w:sz w:val="20"/>
        <w:szCs w:val="20"/>
        <w:lang w:val="es-MX"/>
      </w:rPr>
      <w:t>-201</w:t>
    </w:r>
    <w:r w:rsidR="0048309F">
      <w:rPr>
        <w:rFonts w:ascii="Arial Narrow" w:hAnsi="Arial Narrow"/>
        <w:sz w:val="20"/>
        <w:szCs w:val="20"/>
      </w:rPr>
      <w:t>9</w:t>
    </w:r>
    <w:r w:rsidR="0048309F">
      <w:rPr>
        <w:rFonts w:ascii="Arial Narrow" w:hAnsi="Arial Narrow"/>
        <w:sz w:val="20"/>
        <w:szCs w:val="20"/>
      </w:rPr>
      <w:tab/>
    </w:r>
  </w:p>
  <w:p w14:paraId="25FB61DB" w14:textId="77777777" w:rsidR="00C22D6D" w:rsidRDefault="0048309F">
    <w:pPr>
      <w:pStyle w:val="Encabezado"/>
    </w:pPr>
    <w:r>
      <w:rPr>
        <w:noProof/>
        <w:lang w:val="es-MX" w:eastAsia="es-MX"/>
      </w:rPr>
      <mc:AlternateContent>
        <mc:Choice Requires="wps">
          <w:drawing>
            <wp:anchor distT="0" distB="0" distL="114300" distR="114300" simplePos="0" relativeHeight="251657216" behindDoc="0" locked="0" layoutInCell="1" allowOverlap="1" wp14:anchorId="25FB61E0" wp14:editId="25FB61E1">
              <wp:simplePos x="0" y="0"/>
              <wp:positionH relativeFrom="column">
                <wp:posOffset>-5080</wp:posOffset>
              </wp:positionH>
              <wp:positionV relativeFrom="paragraph">
                <wp:posOffset>38213</wp:posOffset>
              </wp:positionV>
              <wp:extent cx="5830570" cy="12065"/>
              <wp:effectExtent l="19050" t="19050" r="17780" b="260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24E547" id="_x0000_t32" coordsize="21600,21600" o:spt="32" o:oned="t" path="m,l21600,21600e" filled="f">
              <v:path arrowok="t" fillok="f" o:connecttype="none"/>
              <o:lock v:ext="edit" shapetype="t"/>
            </v:shapetype>
            <v:shape id="AutoShape 1" o:spid="_x0000_s1026" type="#_x0000_t32" style="position:absolute;margin-left:-.4pt;margin-top:3pt;width:459.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" strokecolor="#5b9bd5 [3204]"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95393"/>
    <w:multiLevelType w:val="hybridMultilevel"/>
    <w:tmpl w:val="13224814"/>
    <w:lvl w:ilvl="0" w:tplc="F62A4C5A">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8F2AC1"/>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9A3638"/>
    <w:multiLevelType w:val="hybridMultilevel"/>
    <w:tmpl w:val="74FE91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761103"/>
    <w:multiLevelType w:val="hybridMultilevel"/>
    <w:tmpl w:val="B7420A78"/>
    <w:lvl w:ilvl="0" w:tplc="ED488C4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DD94DFC"/>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D244BA"/>
    <w:multiLevelType w:val="hybridMultilevel"/>
    <w:tmpl w:val="9E5231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336437"/>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28E802D4"/>
    <w:multiLevelType w:val="hybridMultilevel"/>
    <w:tmpl w:val="76844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B7C98"/>
    <w:multiLevelType w:val="hybridMultilevel"/>
    <w:tmpl w:val="7BDC2610"/>
    <w:lvl w:ilvl="0" w:tplc="023652B6">
      <w:start w:val="1"/>
      <w:numFmt w:val="decimal"/>
      <w:suff w:val="space"/>
      <w:lvlText w:val="Art. %1.- "/>
      <w:lvlJc w:val="left"/>
      <w:pPr>
        <w:ind w:left="7448"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nsid w:val="39C50D28"/>
    <w:multiLevelType w:val="hybridMultilevel"/>
    <w:tmpl w:val="BF6E5D9A"/>
    <w:lvl w:ilvl="0" w:tplc="9E661E8E">
      <w:start w:val="1"/>
      <w:numFmt w:val="lowerRoman"/>
      <w:lvlText w:val="%1."/>
      <w:lvlJc w:val="righ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nsid w:val="3CA11EBA"/>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3">
    <w:nsid w:val="5D472D40"/>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4D0458"/>
    <w:multiLevelType w:val="hybridMultilevel"/>
    <w:tmpl w:val="FCD63AC0"/>
    <w:lvl w:ilvl="0" w:tplc="B38CA64E">
      <w:start w:val="1"/>
      <w:numFmt w:val="lowerLetter"/>
      <w:lvlText w:val="%1)"/>
      <w:lvlJc w:val="left"/>
      <w:pPr>
        <w:ind w:left="0" w:firstLine="42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8140252"/>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505B42"/>
    <w:multiLevelType w:val="hybridMultilevel"/>
    <w:tmpl w:val="06DC64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3468B8"/>
    <w:multiLevelType w:val="singleLevel"/>
    <w:tmpl w:val="C556FF7C"/>
    <w:lvl w:ilvl="0">
      <w:start w:val="1"/>
      <w:numFmt w:val="upperRoman"/>
      <w:lvlText w:val="%1."/>
      <w:lvlJc w:val="left"/>
      <w:pPr>
        <w:tabs>
          <w:tab w:val="num" w:pos="720"/>
        </w:tabs>
        <w:ind w:left="720" w:hanging="720"/>
      </w:pPr>
      <w:rPr>
        <w:rFonts w:hint="default"/>
      </w:rPr>
    </w:lvl>
  </w:abstractNum>
  <w:abstractNum w:abstractNumId="18">
    <w:nsid w:val="7B247056"/>
    <w:multiLevelType w:val="hybridMultilevel"/>
    <w:tmpl w:val="4B0EC96C"/>
    <w:lvl w:ilvl="0" w:tplc="8A22E240">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5"/>
  </w:num>
  <w:num w:numId="6">
    <w:abstractNumId w:val="14"/>
  </w:num>
  <w:num w:numId="7">
    <w:abstractNumId w:val="10"/>
  </w:num>
  <w:num w:numId="8">
    <w:abstractNumId w:val="2"/>
  </w:num>
  <w:num w:numId="9">
    <w:abstractNumId w:val="13"/>
  </w:num>
  <w:num w:numId="10">
    <w:abstractNumId w:val="15"/>
  </w:num>
  <w:num w:numId="11">
    <w:abstractNumId w:val="12"/>
  </w:num>
  <w:num w:numId="12">
    <w:abstractNumId w:val="8"/>
  </w:num>
  <w:num w:numId="13">
    <w:abstractNumId w:val="16"/>
  </w:num>
  <w:num w:numId="14">
    <w:abstractNumId w:val="3"/>
  </w:num>
  <w:num w:numId="15">
    <w:abstractNumId w:val="17"/>
  </w:num>
  <w:num w:numId="16">
    <w:abstractNumId w:val="1"/>
  </w:num>
  <w:num w:numId="17">
    <w:abstractNumId w:val="1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67"/>
    <w:rsid w:val="0003397E"/>
    <w:rsid w:val="000648D6"/>
    <w:rsid w:val="00075378"/>
    <w:rsid w:val="000B76ED"/>
    <w:rsid w:val="001154AA"/>
    <w:rsid w:val="00185D58"/>
    <w:rsid w:val="001E76EE"/>
    <w:rsid w:val="00285CF6"/>
    <w:rsid w:val="00293A64"/>
    <w:rsid w:val="0029549B"/>
    <w:rsid w:val="00335D06"/>
    <w:rsid w:val="0048309F"/>
    <w:rsid w:val="004A1590"/>
    <w:rsid w:val="004F374D"/>
    <w:rsid w:val="00531BA8"/>
    <w:rsid w:val="00585D78"/>
    <w:rsid w:val="0059628D"/>
    <w:rsid w:val="005B4B7F"/>
    <w:rsid w:val="005D5D5F"/>
    <w:rsid w:val="00643386"/>
    <w:rsid w:val="0077475B"/>
    <w:rsid w:val="0081292D"/>
    <w:rsid w:val="00857257"/>
    <w:rsid w:val="008F4C3D"/>
    <w:rsid w:val="008F60CC"/>
    <w:rsid w:val="00977933"/>
    <w:rsid w:val="009D59FC"/>
    <w:rsid w:val="00A21013"/>
    <w:rsid w:val="00A2210B"/>
    <w:rsid w:val="00AA6238"/>
    <w:rsid w:val="00BC29D4"/>
    <w:rsid w:val="00BC3D72"/>
    <w:rsid w:val="00BC41B7"/>
    <w:rsid w:val="00BF69E7"/>
    <w:rsid w:val="00C0182B"/>
    <w:rsid w:val="00C51D85"/>
    <w:rsid w:val="00C63513"/>
    <w:rsid w:val="00C856DD"/>
    <w:rsid w:val="00C95475"/>
    <w:rsid w:val="00CB0518"/>
    <w:rsid w:val="00CD4875"/>
    <w:rsid w:val="00CD5154"/>
    <w:rsid w:val="00DB098F"/>
    <w:rsid w:val="00DE3613"/>
    <w:rsid w:val="00E36743"/>
    <w:rsid w:val="00EC2067"/>
    <w:rsid w:val="00F846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B6191"/>
  <w15:docId w15:val="{F84C17AA-2289-4DC1-862D-72E55EC1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67"/>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067"/>
  </w:style>
  <w:style w:type="paragraph" w:styleId="Piedepgina">
    <w:name w:val="footer"/>
    <w:basedOn w:val="Normal"/>
    <w:link w:val="PiedepginaCar"/>
    <w:unhideWhenUsed/>
    <w:rsid w:val="00EC2067"/>
    <w:pPr>
      <w:tabs>
        <w:tab w:val="center" w:pos="4419"/>
        <w:tab w:val="right" w:pos="8838"/>
      </w:tabs>
      <w:spacing w:after="0" w:line="240" w:lineRule="auto"/>
    </w:pPr>
  </w:style>
  <w:style w:type="character" w:customStyle="1" w:styleId="PiedepginaCar">
    <w:name w:val="Pie de página Car"/>
    <w:basedOn w:val="Fuentedeprrafopredeter"/>
    <w:link w:val="Piedepgina"/>
    <w:rsid w:val="00EC2067"/>
  </w:style>
  <w:style w:type="paragraph" w:customStyle="1" w:styleId="Default">
    <w:name w:val="Default"/>
    <w:rsid w:val="00EC206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C2067"/>
    <w:rPr>
      <w:rFonts w:ascii="Arial Narrow" w:hAnsi="Arial Narrow"/>
      <w:b/>
      <w:sz w:val="20"/>
    </w:rPr>
  </w:style>
  <w:style w:type="paragraph" w:styleId="Prrafodelista">
    <w:name w:val="List Paragraph"/>
    <w:basedOn w:val="Normal"/>
    <w:link w:val="PrrafodelistaCar"/>
    <w:uiPriority w:val="34"/>
    <w:qFormat/>
    <w:rsid w:val="00EC2067"/>
    <w:pPr>
      <w:ind w:left="720"/>
      <w:contextualSpacing/>
    </w:pPr>
  </w:style>
  <w:style w:type="paragraph" w:styleId="Textoindependiente">
    <w:name w:val="Body Text"/>
    <w:basedOn w:val="Normal"/>
    <w:link w:val="TextoindependienteCar"/>
    <w:semiHidden/>
    <w:rsid w:val="00EC2067"/>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EC2067"/>
    <w:rPr>
      <w:rFonts w:ascii="Comic Sans MS" w:eastAsia="Times New Roman" w:hAnsi="Comic Sans MS" w:cs="Times New Roman"/>
      <w:sz w:val="24"/>
      <w:szCs w:val="20"/>
      <w:lang w:eastAsia="es-SV"/>
    </w:rPr>
  </w:style>
  <w:style w:type="character" w:customStyle="1" w:styleId="PrrafodelistaCar">
    <w:name w:val="Párrafo de lista Car"/>
    <w:basedOn w:val="Fuentedeprrafopredeter"/>
    <w:link w:val="Prrafodelista"/>
    <w:uiPriority w:val="34"/>
    <w:locked/>
    <w:rsid w:val="00EC2067"/>
  </w:style>
  <w:style w:type="paragraph" w:styleId="Sinespaciado">
    <w:name w:val="No Spacing"/>
    <w:uiPriority w:val="1"/>
    <w:qFormat/>
    <w:rsid w:val="00EC2067"/>
    <w:pPr>
      <w:spacing w:after="0" w:line="240" w:lineRule="auto"/>
      <w:jc w:val="both"/>
    </w:pPr>
    <w:rPr>
      <w:lang w:val="es-GT"/>
    </w:rPr>
  </w:style>
  <w:style w:type="character" w:styleId="Refdecomentario">
    <w:name w:val="annotation reference"/>
    <w:basedOn w:val="Fuentedeprrafopredeter"/>
    <w:uiPriority w:val="99"/>
    <w:semiHidden/>
    <w:unhideWhenUsed/>
    <w:rsid w:val="00EC2067"/>
    <w:rPr>
      <w:sz w:val="16"/>
      <w:szCs w:val="16"/>
    </w:rPr>
  </w:style>
  <w:style w:type="character" w:styleId="Textoennegrita">
    <w:name w:val="Strong"/>
    <w:basedOn w:val="Fuentedeprrafopredeter"/>
    <w:uiPriority w:val="22"/>
    <w:qFormat/>
    <w:rsid w:val="00EC2067"/>
    <w:rPr>
      <w:b/>
      <w:bCs/>
    </w:rPr>
  </w:style>
  <w:style w:type="paragraph" w:styleId="Textocomentario">
    <w:name w:val="annotation text"/>
    <w:basedOn w:val="Normal"/>
    <w:link w:val="TextocomentarioCar"/>
    <w:uiPriority w:val="99"/>
    <w:semiHidden/>
    <w:unhideWhenUsed/>
    <w:rsid w:val="009779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7933"/>
    <w:rPr>
      <w:sz w:val="20"/>
      <w:szCs w:val="20"/>
    </w:rPr>
  </w:style>
  <w:style w:type="paragraph" w:styleId="Asuntodelcomentario">
    <w:name w:val="annotation subject"/>
    <w:basedOn w:val="Textocomentario"/>
    <w:next w:val="Textocomentario"/>
    <w:link w:val="AsuntodelcomentarioCar"/>
    <w:uiPriority w:val="99"/>
    <w:semiHidden/>
    <w:unhideWhenUsed/>
    <w:rsid w:val="00977933"/>
    <w:rPr>
      <w:b/>
      <w:bCs/>
    </w:rPr>
  </w:style>
  <w:style w:type="character" w:customStyle="1" w:styleId="AsuntodelcomentarioCar">
    <w:name w:val="Asunto del comentario Car"/>
    <w:basedOn w:val="TextocomentarioCar"/>
    <w:link w:val="Asuntodelcomentario"/>
    <w:uiPriority w:val="99"/>
    <w:semiHidden/>
    <w:rsid w:val="00977933"/>
    <w:rPr>
      <w:b/>
      <w:bCs/>
      <w:sz w:val="20"/>
      <w:szCs w:val="20"/>
    </w:rPr>
  </w:style>
  <w:style w:type="paragraph" w:styleId="Textodeglobo">
    <w:name w:val="Balloon Text"/>
    <w:basedOn w:val="Normal"/>
    <w:link w:val="TextodegloboCar"/>
    <w:uiPriority w:val="99"/>
    <w:semiHidden/>
    <w:unhideWhenUsed/>
    <w:rsid w:val="009779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TAK2XWSQXAVX-1591682896-82</_dlc_DocId>
    <_dlc_DocIdUrl xmlns="925361b9-3a0c-4c35-ae0e-5f5ef97db517">
      <Url>http://sis/dn/_layouts/15/DocIdRedir.aspx?ID=TAK2XWSQXAVX-1591682896-82</Url>
      <Description>TAK2XWSQXAVX-1591682896-82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C0F7A-DEA0-4920-A325-354B8E3A9040}"/>
</file>

<file path=customXml/itemProps2.xml><?xml version="1.0" encoding="utf-8"?>
<ds:datastoreItem xmlns:ds="http://schemas.openxmlformats.org/officeDocument/2006/customXml" ds:itemID="{4551D2E0-E2C1-4831-9B59-3EDCEB597994}"/>
</file>

<file path=customXml/itemProps3.xml><?xml version="1.0" encoding="utf-8"?>
<ds:datastoreItem xmlns:ds="http://schemas.openxmlformats.org/officeDocument/2006/customXml" ds:itemID="{108DC372-2689-49D9-8B4A-C4E760AD0300}"/>
</file>

<file path=customXml/itemProps4.xml><?xml version="1.0" encoding="utf-8"?>
<ds:datastoreItem xmlns:ds="http://schemas.openxmlformats.org/officeDocument/2006/customXml" ds:itemID="{4025B9E9-0EB6-40FE-9787-6AEBA68DE350}"/>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Carolina Doñan de Villalta</dc:creator>
  <cp:lastModifiedBy>Laila Badiyéh Resbain Sholéh Ramírez Abarca</cp:lastModifiedBy>
  <cp:revision>2</cp:revision>
  <cp:lastPrinted>2019-04-12T23:31:00Z</cp:lastPrinted>
  <dcterms:created xsi:type="dcterms:W3CDTF">2019-04-12T23:34:00Z</dcterms:created>
  <dcterms:modified xsi:type="dcterms:W3CDTF">2019-04-12T23:34:00Z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5a7ab312-0f4c-4b26-80ee-85be6d8484c1</vt:lpwstr>
  </property>
</Properties>
</file>