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61" w:rsidRPr="006F4F67" w:rsidRDefault="003C3861" w:rsidP="00C4092E">
      <w:pPr>
        <w:jc w:val="both"/>
        <w:rPr>
          <w:rFonts w:ascii="Museo Sans 300" w:hAnsi="Museo Sans 300" w:cs="Arial"/>
          <w:sz w:val="24"/>
          <w:szCs w:val="24"/>
        </w:rPr>
      </w:pPr>
    </w:p>
    <w:p w:rsidR="0023388E" w:rsidRPr="0023388E" w:rsidRDefault="00FE3A2D" w:rsidP="0023388E">
      <w:pPr>
        <w:jc w:val="center"/>
        <w:rPr>
          <w:rFonts w:ascii="Museo Sans 300" w:hAnsi="Museo Sans 300" w:cs="Arial"/>
          <w:b/>
          <w:sz w:val="24"/>
          <w:szCs w:val="24"/>
        </w:rPr>
      </w:pPr>
      <w:r w:rsidRPr="00FE3A2D">
        <w:rPr>
          <w:rFonts w:ascii="Museo Sans 300" w:hAnsi="Museo Sans 300" w:cs="Arial"/>
          <w:b/>
          <w:sz w:val="24"/>
          <w:szCs w:val="24"/>
        </w:rPr>
        <w:t xml:space="preserve">LINEAMIENTOS MÍNIMOS </w:t>
      </w:r>
      <w:r w:rsidR="0023388E" w:rsidRPr="0023388E">
        <w:rPr>
          <w:rFonts w:ascii="Museo Sans 300" w:hAnsi="Museo Sans 300" w:cs="Arial"/>
          <w:b/>
          <w:sz w:val="24"/>
          <w:szCs w:val="24"/>
        </w:rPr>
        <w:t xml:space="preserve">PARA LA OPERACIÓN ACTIVA </w:t>
      </w:r>
    </w:p>
    <w:p w:rsidR="003C3861" w:rsidRPr="006F4F67" w:rsidRDefault="0023388E" w:rsidP="00C51996">
      <w:pPr>
        <w:jc w:val="center"/>
        <w:rPr>
          <w:rFonts w:ascii="Museo Sans 300" w:hAnsi="Museo Sans 300" w:cs="Arial"/>
          <w:b/>
          <w:sz w:val="24"/>
          <w:szCs w:val="24"/>
        </w:rPr>
      </w:pPr>
      <w:r w:rsidRPr="0023388E">
        <w:rPr>
          <w:rFonts w:ascii="Museo Sans 300" w:hAnsi="Museo Sans 300" w:cs="Arial"/>
          <w:b/>
          <w:sz w:val="24"/>
          <w:szCs w:val="24"/>
        </w:rPr>
        <w:t xml:space="preserve">DE FACTORAJE </w:t>
      </w:r>
      <w:r w:rsidR="00C51996" w:rsidRPr="00C51996">
        <w:rPr>
          <w:rFonts w:ascii="Museo Sans 300" w:hAnsi="Museo Sans 300" w:cs="Arial"/>
          <w:b/>
          <w:sz w:val="24"/>
          <w:szCs w:val="24"/>
        </w:rPr>
        <w:t>DE LOS BANCOS, BANCOS COOPERATIVOS Y SOCIEDADES DE AHORRO Y CRÉDITO</w:t>
      </w:r>
      <w:r w:rsidR="00C51996">
        <w:rPr>
          <w:rFonts w:ascii="Museo Sans 300" w:hAnsi="Museo Sans 300" w:cs="Arial"/>
          <w:b/>
          <w:sz w:val="24"/>
          <w:szCs w:val="24"/>
        </w:rPr>
        <w:t xml:space="preserve"> </w:t>
      </w:r>
      <w:r w:rsidR="00C51996" w:rsidRPr="00C51996">
        <w:rPr>
          <w:rFonts w:ascii="Museo Sans 300" w:hAnsi="Museo Sans 300" w:cs="Arial"/>
          <w:b/>
          <w:sz w:val="18"/>
          <w:szCs w:val="24"/>
        </w:rPr>
        <w:t>(1)</w:t>
      </w:r>
      <w:r w:rsidR="00F30277">
        <w:rPr>
          <w:rFonts w:ascii="Museo Sans 300" w:hAnsi="Museo Sans 300" w:cs="Arial"/>
          <w:b/>
          <w:sz w:val="18"/>
          <w:szCs w:val="24"/>
        </w:rPr>
        <w:t xml:space="preserve"> </w:t>
      </w:r>
    </w:p>
    <w:p w:rsidR="003C3861" w:rsidRDefault="003C3861" w:rsidP="00C4092E">
      <w:pPr>
        <w:jc w:val="center"/>
        <w:rPr>
          <w:rFonts w:ascii="Museo Sans 300" w:hAnsi="Museo Sans 300" w:cs="Arial"/>
        </w:rPr>
      </w:pPr>
    </w:p>
    <w:p w:rsidR="00F30277" w:rsidRPr="00C6264C" w:rsidRDefault="00F30277" w:rsidP="00C4092E">
      <w:pPr>
        <w:jc w:val="center"/>
        <w:rPr>
          <w:rFonts w:ascii="Museo Sans 100" w:hAnsi="Museo Sans 100" w:cs="Arial"/>
          <w:b/>
        </w:rPr>
      </w:pPr>
    </w:p>
    <w:p w:rsidR="00F30277" w:rsidRPr="00C6264C" w:rsidRDefault="00F30277" w:rsidP="00C4092E">
      <w:pPr>
        <w:jc w:val="center"/>
        <w:rPr>
          <w:rFonts w:ascii="Museo Sans 100" w:hAnsi="Museo Sans 100" w:cs="Arial"/>
          <w:b/>
        </w:rPr>
      </w:pPr>
    </w:p>
    <w:p w:rsidR="00F30277" w:rsidRPr="00C6264C" w:rsidRDefault="00F30277" w:rsidP="00F30277">
      <w:pPr>
        <w:pStyle w:val="Prrafodelista"/>
        <w:numPr>
          <w:ilvl w:val="0"/>
          <w:numId w:val="32"/>
        </w:numPr>
        <w:jc w:val="both"/>
        <w:rPr>
          <w:rFonts w:ascii="Museo Sans 100" w:hAnsi="Museo Sans 100" w:cs="Arial"/>
          <w:b/>
        </w:rPr>
      </w:pPr>
      <w:r w:rsidRPr="00C6264C">
        <w:rPr>
          <w:rFonts w:ascii="Museo Sans 100" w:hAnsi="Museo Sans 100" w:cs="Arial"/>
          <w:b/>
        </w:rPr>
        <w:t>Los bancos, bancos cooperativos y sociedades de ahorro y crédito, remitirán al Banco Central de Reserva de El Salvador, la documentación que describe la operación activa de factoraje, la cual será analizada con base en el “Instructivo para la Aprobación de Nuevos Productos y Servicios Financieros”, Ley de Bancos y la Ley de Bancos Cooperativos y Sociedades de Ahorro y Crédito.</w:t>
      </w:r>
      <w:r w:rsidRPr="00C6264C">
        <w:rPr>
          <w:rFonts w:ascii="Museo Sans 100" w:hAnsi="Museo Sans 100" w:cs="Arial"/>
          <w:b/>
          <w:sz w:val="16"/>
        </w:rPr>
        <w:t xml:space="preserve"> (1)</w:t>
      </w:r>
    </w:p>
    <w:p w:rsidR="00F30277" w:rsidRPr="00C6264C" w:rsidRDefault="00F30277" w:rsidP="00F30277">
      <w:pPr>
        <w:pStyle w:val="Prrafodelista"/>
        <w:ind w:left="360"/>
        <w:jc w:val="both"/>
        <w:rPr>
          <w:rFonts w:ascii="Museo Sans 100" w:hAnsi="Museo Sans 100" w:cs="Arial"/>
          <w:b/>
        </w:rPr>
      </w:pPr>
    </w:p>
    <w:p w:rsidR="00F30277" w:rsidRPr="00C6264C" w:rsidRDefault="00F30277" w:rsidP="00F30277">
      <w:pPr>
        <w:pStyle w:val="Prrafodelista"/>
        <w:numPr>
          <w:ilvl w:val="0"/>
          <w:numId w:val="32"/>
        </w:numPr>
        <w:jc w:val="both"/>
        <w:rPr>
          <w:rFonts w:ascii="Museo Sans 100" w:hAnsi="Museo Sans 100" w:cs="Arial"/>
          <w:b/>
        </w:rPr>
      </w:pPr>
      <w:r w:rsidRPr="00C6264C">
        <w:rPr>
          <w:rFonts w:ascii="Museo Sans 100" w:hAnsi="Museo Sans 100" w:cs="Arial"/>
          <w:b/>
        </w:rPr>
        <w:t xml:space="preserve">Los bancos, bancos cooperativos y sociedades de ahorro y crédito, establecerán los requisitos mínimos de los documentos cedidos. </w:t>
      </w:r>
      <w:r w:rsidRPr="00C6264C">
        <w:rPr>
          <w:rFonts w:ascii="Museo Sans 100" w:hAnsi="Museo Sans 100" w:cs="Arial"/>
          <w:b/>
          <w:sz w:val="16"/>
        </w:rPr>
        <w:t>(1)</w:t>
      </w:r>
    </w:p>
    <w:p w:rsidR="00F30277" w:rsidRPr="00C6264C" w:rsidRDefault="00F30277" w:rsidP="00F30277">
      <w:pPr>
        <w:pStyle w:val="Prrafodelista"/>
        <w:rPr>
          <w:rFonts w:ascii="Museo Sans 100" w:hAnsi="Museo Sans 100" w:cs="Arial"/>
          <w:b/>
        </w:rPr>
      </w:pPr>
    </w:p>
    <w:p w:rsidR="00F30277" w:rsidRPr="00C6264C" w:rsidRDefault="00F30277" w:rsidP="00F30277">
      <w:pPr>
        <w:pStyle w:val="Prrafodelista"/>
        <w:numPr>
          <w:ilvl w:val="0"/>
          <w:numId w:val="32"/>
        </w:numPr>
        <w:jc w:val="both"/>
        <w:rPr>
          <w:rFonts w:ascii="Museo Sans 100" w:hAnsi="Museo Sans 100" w:cs="Arial"/>
          <w:b/>
        </w:rPr>
      </w:pPr>
      <w:r w:rsidRPr="00C6264C">
        <w:rPr>
          <w:rFonts w:ascii="Museo Sans 100" w:hAnsi="Museo Sans 100" w:cs="Arial"/>
          <w:b/>
        </w:rPr>
        <w:t xml:space="preserve">Los bancos, bancos cooperativos y sociedades de ahorro y crédito, negociarán con el cliente que cede los documentos, una tasa de descuento por la adquisición de los mismos. </w:t>
      </w:r>
      <w:r w:rsidRPr="00C6264C">
        <w:rPr>
          <w:rFonts w:ascii="Museo Sans 100" w:hAnsi="Museo Sans 100" w:cs="Arial"/>
          <w:b/>
          <w:sz w:val="16"/>
        </w:rPr>
        <w:t>(1)</w:t>
      </w:r>
    </w:p>
    <w:p w:rsidR="00F30277" w:rsidRPr="00C6264C" w:rsidRDefault="00F30277" w:rsidP="00F30277">
      <w:pPr>
        <w:pStyle w:val="Prrafodelista"/>
        <w:rPr>
          <w:rFonts w:ascii="Museo Sans 100" w:hAnsi="Museo Sans 100" w:cs="Arial"/>
          <w:b/>
        </w:rPr>
      </w:pPr>
    </w:p>
    <w:p w:rsidR="00F30277" w:rsidRPr="00C6264C" w:rsidRDefault="00F30277" w:rsidP="00F30277">
      <w:pPr>
        <w:pStyle w:val="Prrafodelista"/>
        <w:numPr>
          <w:ilvl w:val="0"/>
          <w:numId w:val="32"/>
        </w:numPr>
        <w:jc w:val="both"/>
        <w:rPr>
          <w:rFonts w:ascii="Museo Sans 100" w:hAnsi="Museo Sans 100" w:cs="Arial"/>
          <w:b/>
        </w:rPr>
      </w:pPr>
      <w:r w:rsidRPr="00C6264C">
        <w:rPr>
          <w:rFonts w:ascii="Museo Sans 100" w:hAnsi="Museo Sans 100" w:cs="Arial"/>
          <w:b/>
        </w:rPr>
        <w:t xml:space="preserve">Los bancos, bancos cooperativos y sociedades de ahorro y crédito, negociarán un plazo para el cobro de los documentos. </w:t>
      </w:r>
      <w:r w:rsidRPr="00C6264C">
        <w:rPr>
          <w:rFonts w:ascii="Museo Sans 100" w:hAnsi="Museo Sans 100" w:cs="Arial"/>
          <w:b/>
          <w:sz w:val="16"/>
        </w:rPr>
        <w:t>(1)</w:t>
      </w:r>
    </w:p>
    <w:p w:rsidR="00F30277" w:rsidRPr="00C6264C" w:rsidRDefault="00F30277" w:rsidP="00F30277">
      <w:pPr>
        <w:pStyle w:val="Prrafodelista"/>
        <w:rPr>
          <w:rFonts w:ascii="Museo Sans 100" w:hAnsi="Museo Sans 100" w:cs="Arial"/>
          <w:b/>
        </w:rPr>
      </w:pPr>
    </w:p>
    <w:p w:rsidR="00F30277" w:rsidRPr="00C6264C" w:rsidRDefault="00F30277" w:rsidP="00F30277">
      <w:pPr>
        <w:pStyle w:val="Prrafodelista"/>
        <w:numPr>
          <w:ilvl w:val="0"/>
          <w:numId w:val="32"/>
        </w:numPr>
        <w:jc w:val="both"/>
        <w:rPr>
          <w:rFonts w:ascii="Museo Sans 100" w:hAnsi="Museo Sans 100" w:cs="Arial"/>
          <w:b/>
        </w:rPr>
      </w:pPr>
      <w:r w:rsidRPr="00C6264C">
        <w:rPr>
          <w:rFonts w:ascii="Museo Sans 100" w:hAnsi="Museo Sans 100" w:cs="Arial"/>
          <w:b/>
        </w:rPr>
        <w:t xml:space="preserve">Los bancos, bancos cooperativos y sociedades de ahorro y crédito, establecerán y explicarán al cliente, el proceso a seguir para el desembolso de los fondos para la operación de factoraje. </w:t>
      </w:r>
      <w:r w:rsidRPr="00C6264C">
        <w:rPr>
          <w:rFonts w:ascii="Museo Sans 100" w:hAnsi="Museo Sans 100" w:cs="Arial"/>
          <w:b/>
          <w:sz w:val="16"/>
        </w:rPr>
        <w:t>(1)</w:t>
      </w:r>
    </w:p>
    <w:p w:rsidR="00F30277" w:rsidRPr="00C6264C" w:rsidRDefault="00F30277" w:rsidP="00F30277">
      <w:pPr>
        <w:pStyle w:val="Prrafodelista"/>
        <w:rPr>
          <w:rFonts w:ascii="Museo Sans 100" w:hAnsi="Museo Sans 100" w:cs="Arial"/>
          <w:b/>
        </w:rPr>
      </w:pPr>
    </w:p>
    <w:p w:rsidR="00F30277" w:rsidRPr="00C6264C" w:rsidRDefault="00F30277" w:rsidP="00F30277">
      <w:pPr>
        <w:pStyle w:val="Prrafodelista"/>
        <w:numPr>
          <w:ilvl w:val="0"/>
          <w:numId w:val="32"/>
        </w:numPr>
        <w:jc w:val="both"/>
        <w:rPr>
          <w:rFonts w:ascii="Museo Sans 100" w:hAnsi="Museo Sans 100" w:cs="Arial"/>
          <w:b/>
        </w:rPr>
      </w:pPr>
      <w:r w:rsidRPr="00C6264C">
        <w:rPr>
          <w:rFonts w:ascii="Museo Sans 100" w:hAnsi="Museo Sans 100" w:cs="Arial"/>
          <w:b/>
        </w:rPr>
        <w:t xml:space="preserve">Los bancos, bancos cooperativos y sociedades de ahorro y crédito, deben explicar a los clientes las comisiones, cargos, tasas u otros costos relacionados con la operación de factoraje. </w:t>
      </w:r>
      <w:r w:rsidRPr="00C6264C">
        <w:rPr>
          <w:rFonts w:ascii="Museo Sans 100" w:hAnsi="Museo Sans 100" w:cs="Arial"/>
          <w:b/>
          <w:sz w:val="16"/>
        </w:rPr>
        <w:t>(1)</w:t>
      </w:r>
    </w:p>
    <w:p w:rsidR="00F30277" w:rsidRPr="00C6264C" w:rsidRDefault="00F30277" w:rsidP="00F30277">
      <w:pPr>
        <w:pStyle w:val="Prrafodelista"/>
        <w:rPr>
          <w:rFonts w:ascii="Museo Sans 100" w:hAnsi="Museo Sans 100" w:cs="Arial"/>
          <w:b/>
        </w:rPr>
      </w:pPr>
    </w:p>
    <w:p w:rsidR="004E508B" w:rsidRPr="00C6264C" w:rsidRDefault="00F30277" w:rsidP="00F30277">
      <w:pPr>
        <w:pStyle w:val="Prrafodelista"/>
        <w:numPr>
          <w:ilvl w:val="0"/>
          <w:numId w:val="32"/>
        </w:numPr>
        <w:jc w:val="both"/>
        <w:rPr>
          <w:rFonts w:ascii="Museo Sans 100" w:hAnsi="Museo Sans 100" w:cs="Arial"/>
          <w:b/>
        </w:rPr>
      </w:pPr>
      <w:r w:rsidRPr="00C6264C">
        <w:rPr>
          <w:rFonts w:ascii="Museo Sans 100" w:hAnsi="Museo Sans 100" w:cs="Arial"/>
          <w:b/>
        </w:rPr>
        <w:t xml:space="preserve">Los bancos, bancos cooperativos y sociedades de ahorro y crédito, seguirán el proceso establecido en el Art. 22 de la Ley de Protección al Consumidor, para el depósito del modelo de contrato. </w:t>
      </w:r>
      <w:r w:rsidRPr="00C6264C">
        <w:rPr>
          <w:rFonts w:ascii="Museo Sans 100" w:hAnsi="Museo Sans 100" w:cs="Arial"/>
          <w:b/>
          <w:sz w:val="16"/>
        </w:rPr>
        <w:t>(1)</w:t>
      </w:r>
    </w:p>
    <w:p w:rsidR="00F30277" w:rsidRPr="00C6264C" w:rsidRDefault="00F30277" w:rsidP="00F30277">
      <w:pPr>
        <w:pStyle w:val="Prrafodelista"/>
        <w:rPr>
          <w:rFonts w:ascii="Museo Sans 100" w:hAnsi="Museo Sans 100" w:cs="Arial"/>
          <w:b/>
        </w:rPr>
      </w:pPr>
    </w:p>
    <w:p w:rsidR="00F30277" w:rsidRPr="00C6264C" w:rsidRDefault="00F30277" w:rsidP="00F30277">
      <w:pPr>
        <w:pStyle w:val="Prrafodelista"/>
        <w:numPr>
          <w:ilvl w:val="0"/>
          <w:numId w:val="32"/>
        </w:numPr>
        <w:jc w:val="both"/>
        <w:rPr>
          <w:rFonts w:ascii="Museo Sans 100" w:hAnsi="Museo Sans 100" w:cs="Arial"/>
          <w:b/>
        </w:rPr>
      </w:pPr>
      <w:r w:rsidRPr="00C6264C">
        <w:rPr>
          <w:rFonts w:ascii="Museo Sans 100" w:hAnsi="Museo Sans 100" w:cs="Arial"/>
          <w:b/>
        </w:rPr>
        <w:t>Los bancos, bancos cooperativos y sociedades de ahorro y crédito, establecerán medidas de mitigación ante los riesgos que su operación de factoraje implique.</w:t>
      </w:r>
      <w:r w:rsidR="006D7B1D" w:rsidRPr="00C6264C">
        <w:rPr>
          <w:rFonts w:ascii="Museo Sans 100" w:hAnsi="Museo Sans 100" w:cs="Arial"/>
          <w:b/>
        </w:rPr>
        <w:t xml:space="preserve"> </w:t>
      </w:r>
      <w:r w:rsidR="006D7B1D" w:rsidRPr="00C6264C">
        <w:rPr>
          <w:rFonts w:ascii="Museo Sans 100" w:hAnsi="Museo Sans 100" w:cs="Arial"/>
          <w:b/>
          <w:sz w:val="16"/>
        </w:rPr>
        <w:t>(1)</w:t>
      </w:r>
    </w:p>
    <w:p w:rsidR="00F30277" w:rsidRPr="00C6264C" w:rsidRDefault="00F30277" w:rsidP="00F30277">
      <w:pPr>
        <w:pStyle w:val="Prrafodelista"/>
        <w:ind w:left="360"/>
        <w:jc w:val="both"/>
        <w:rPr>
          <w:rFonts w:ascii="Museo Sans 100" w:hAnsi="Museo Sans 100" w:cs="Arial"/>
          <w:b/>
        </w:rPr>
      </w:pPr>
    </w:p>
    <w:p w:rsidR="00F30277" w:rsidRPr="00C6264C" w:rsidRDefault="00F30277" w:rsidP="00F30277">
      <w:pPr>
        <w:pStyle w:val="Prrafodelista"/>
        <w:numPr>
          <w:ilvl w:val="0"/>
          <w:numId w:val="32"/>
        </w:numPr>
        <w:jc w:val="both"/>
        <w:rPr>
          <w:rFonts w:ascii="Museo Sans 100" w:hAnsi="Museo Sans 100" w:cs="Arial"/>
          <w:b/>
        </w:rPr>
      </w:pPr>
      <w:r w:rsidRPr="00C6264C">
        <w:rPr>
          <w:rFonts w:ascii="Museo Sans 100" w:hAnsi="Museo Sans 100" w:cs="Arial"/>
          <w:b/>
        </w:rPr>
        <w:t xml:space="preserve">Los bancos, bancos cooperativos y sociedades de ahorro y crédito, deben cumplir </w:t>
      </w:r>
      <w:r w:rsidR="006D7B1D" w:rsidRPr="00C6264C">
        <w:rPr>
          <w:rFonts w:ascii="Museo Sans 100" w:hAnsi="Museo Sans 100" w:cs="Arial"/>
          <w:b/>
        </w:rPr>
        <w:t xml:space="preserve">con </w:t>
      </w:r>
      <w:r w:rsidRPr="00C6264C">
        <w:rPr>
          <w:rFonts w:ascii="Museo Sans 100" w:hAnsi="Museo Sans 100" w:cs="Arial"/>
          <w:b/>
        </w:rPr>
        <w:t>los requisitos de la notificación de la cesión de la obligación con base en las reglas establecidas en el Código Civil, artículos 672, 1529, 1692, 1693 y 1695.</w:t>
      </w:r>
      <w:r w:rsidR="006D7B1D" w:rsidRPr="00C6264C">
        <w:rPr>
          <w:rFonts w:ascii="Museo Sans 100" w:hAnsi="Museo Sans 100" w:cs="Arial"/>
          <w:b/>
        </w:rPr>
        <w:t xml:space="preserve"> </w:t>
      </w:r>
      <w:r w:rsidR="006D7B1D" w:rsidRPr="00C6264C">
        <w:rPr>
          <w:rFonts w:ascii="Museo Sans 100" w:hAnsi="Museo Sans 100" w:cs="Arial"/>
          <w:b/>
          <w:sz w:val="16"/>
        </w:rPr>
        <w:t>(1)</w:t>
      </w:r>
    </w:p>
    <w:p w:rsidR="00F30277" w:rsidRPr="00C6264C" w:rsidRDefault="00426663" w:rsidP="00F30277">
      <w:pPr>
        <w:pStyle w:val="Prrafodelista"/>
        <w:ind w:left="360"/>
        <w:jc w:val="both"/>
        <w:rPr>
          <w:rFonts w:ascii="Museo Sans 100" w:hAnsi="Museo Sans 100" w:cs="Arial"/>
          <w:b/>
        </w:rPr>
      </w:pPr>
      <w:r w:rsidRPr="00C6264C">
        <w:rPr>
          <w:rFonts w:ascii="Museo Sans 100" w:hAnsi="Museo Sans 100"/>
          <w:b/>
          <w:noProof/>
          <w:sz w:val="20"/>
          <w:szCs w:val="20"/>
          <w:lang w:eastAsia="es-SV"/>
        </w:rPr>
        <mc:AlternateContent>
          <mc:Choice Requires="wps">
            <w:drawing>
              <wp:anchor distT="0" distB="0" distL="114300" distR="114300" simplePos="0" relativeHeight="251659264" behindDoc="0" locked="0" layoutInCell="1" allowOverlap="1" wp14:anchorId="7502D552" wp14:editId="7502D553">
                <wp:simplePos x="0" y="0"/>
                <wp:positionH relativeFrom="margin">
                  <wp:align>right</wp:align>
                </wp:positionH>
                <wp:positionV relativeFrom="paragraph">
                  <wp:posOffset>-3415340</wp:posOffset>
                </wp:positionV>
                <wp:extent cx="958215" cy="2667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277" w:rsidRPr="000A65EE" w:rsidRDefault="00F30277" w:rsidP="00F30277">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Pr>
                                <w:rFonts w:ascii="Arial Narrow" w:hAnsi="Arial Narrow"/>
                                <w:noProof/>
                                <w:sz w:val="20"/>
                                <w:szCs w:val="20"/>
                              </w:rPr>
                              <w:t>1</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Pr>
                                <w:rFonts w:ascii="Arial Narrow" w:hAnsi="Arial Narrow"/>
                                <w:noProof/>
                                <w:sz w:val="20"/>
                                <w:szCs w:val="20"/>
                              </w:rPr>
                              <w:t>2</w:t>
                            </w:r>
                            <w:r w:rsidRPr="008B7E89">
                              <w:rPr>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2D552" id="_x0000_t202" coordsize="21600,21600" o:spt="202" path="m,l,21600r21600,l21600,xe">
                <v:stroke joinstyle="miter"/>
                <v:path gradientshapeok="t" o:connecttype="rect"/>
              </v:shapetype>
              <v:shape id="Text Box 6" o:spid="_x0000_s1026" type="#_x0000_t202" style="position:absolute;left:0;text-align:left;margin-left:24.25pt;margin-top:-268.9pt;width:75.4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A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" filled="f" stroked="f">
                <v:textbox>
                  <w:txbxContent>
                    <w:p w:rsidR="00F30277" w:rsidRPr="000A65EE" w:rsidRDefault="00F30277" w:rsidP="00F30277">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Pr>
                          <w:rFonts w:ascii="Arial Narrow" w:hAnsi="Arial Narrow"/>
                          <w:noProof/>
                          <w:sz w:val="20"/>
                          <w:szCs w:val="20"/>
                        </w:rPr>
                        <w:t>1</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Pr>
                          <w:rFonts w:ascii="Arial Narrow" w:hAnsi="Arial Narrow"/>
                          <w:noProof/>
                          <w:sz w:val="20"/>
                          <w:szCs w:val="20"/>
                        </w:rPr>
                        <w:t>2</w:t>
                      </w:r>
                      <w:r w:rsidRPr="008B7E89">
                        <w:rPr>
                          <w:rFonts w:ascii="Arial Narrow" w:hAnsi="Arial Narrow"/>
                          <w:sz w:val="20"/>
                          <w:szCs w:val="20"/>
                        </w:rPr>
                        <w:fldChar w:fldCharType="end"/>
                      </w:r>
                    </w:p>
                  </w:txbxContent>
                </v:textbox>
                <w10:wrap anchorx="margin"/>
              </v:shape>
            </w:pict>
          </mc:Fallback>
        </mc:AlternateContent>
      </w:r>
    </w:p>
    <w:p w:rsidR="00F30277" w:rsidRPr="00C6264C" w:rsidRDefault="00F30277" w:rsidP="00F30277">
      <w:pPr>
        <w:pStyle w:val="Prrafodelista"/>
        <w:numPr>
          <w:ilvl w:val="0"/>
          <w:numId w:val="32"/>
        </w:numPr>
        <w:jc w:val="both"/>
        <w:rPr>
          <w:rFonts w:ascii="Museo Sans 100" w:hAnsi="Museo Sans 100" w:cs="Arial"/>
          <w:b/>
        </w:rPr>
      </w:pPr>
      <w:r w:rsidRPr="00C6264C">
        <w:rPr>
          <w:rFonts w:ascii="Museo Sans 100" w:hAnsi="Museo Sans 100" w:cs="Arial"/>
          <w:b/>
        </w:rPr>
        <w:t>Los bancos, bancos cooperativos y sociedades de ahorro y crédito, deben incluir en sus políticas de atención a los usuarios de servicios financieros, los mecanismos de consultas o reclamos relacionados con el factoraje.</w:t>
      </w:r>
      <w:r w:rsidR="006D7B1D" w:rsidRPr="00C6264C">
        <w:rPr>
          <w:rFonts w:ascii="Museo Sans 100" w:hAnsi="Museo Sans 100" w:cs="Arial"/>
          <w:b/>
        </w:rPr>
        <w:t xml:space="preserve"> </w:t>
      </w:r>
      <w:r w:rsidR="006D7B1D" w:rsidRPr="00C6264C">
        <w:rPr>
          <w:rFonts w:ascii="Museo Sans 100" w:hAnsi="Museo Sans 100" w:cs="Arial"/>
          <w:b/>
          <w:sz w:val="16"/>
        </w:rPr>
        <w:t>(1)</w:t>
      </w:r>
    </w:p>
    <w:p w:rsidR="00F30277" w:rsidRPr="00C6264C" w:rsidRDefault="00F30277" w:rsidP="00F30277">
      <w:pPr>
        <w:pStyle w:val="Prrafodelista"/>
        <w:rPr>
          <w:rFonts w:ascii="Museo Sans 100" w:hAnsi="Museo Sans 100" w:cs="Arial"/>
          <w:b/>
        </w:rPr>
      </w:pPr>
    </w:p>
    <w:p w:rsidR="003E5F72" w:rsidRPr="00C6264C" w:rsidRDefault="00F90255" w:rsidP="003A3804">
      <w:pPr>
        <w:pStyle w:val="Prrafodelista"/>
        <w:numPr>
          <w:ilvl w:val="0"/>
          <w:numId w:val="32"/>
        </w:numPr>
        <w:jc w:val="both"/>
        <w:rPr>
          <w:rFonts w:ascii="Museo Sans 100" w:hAnsi="Museo Sans 100" w:cs="Arial"/>
          <w:b/>
        </w:rPr>
      </w:pPr>
      <w:r w:rsidRPr="00C6264C">
        <w:rPr>
          <w:rFonts w:ascii="Museo Sans 100" w:hAnsi="Museo Sans 100" w:cs="Arial"/>
          <w:b/>
        </w:rPr>
        <w:t>D</w:t>
      </w:r>
      <w:r w:rsidR="00727C9D" w:rsidRPr="00C6264C">
        <w:rPr>
          <w:rFonts w:ascii="Museo Sans 100" w:hAnsi="Museo Sans 100" w:cs="Arial"/>
          <w:b/>
        </w:rPr>
        <w:t>erogado</w:t>
      </w:r>
      <w:r w:rsidRPr="00C6264C">
        <w:rPr>
          <w:rFonts w:ascii="Museo Sans 100" w:hAnsi="Museo Sans 100" w:cs="Arial"/>
          <w:b/>
        </w:rPr>
        <w:t xml:space="preserve"> </w:t>
      </w:r>
      <w:r w:rsidRPr="00C6264C">
        <w:rPr>
          <w:rFonts w:ascii="Museo Sans 100" w:hAnsi="Museo Sans 100" w:cs="Arial"/>
          <w:b/>
          <w:sz w:val="18"/>
        </w:rPr>
        <w:t>(</w:t>
      </w:r>
      <w:r w:rsidR="00C51996" w:rsidRPr="00C6264C">
        <w:rPr>
          <w:rFonts w:ascii="Museo Sans 100" w:hAnsi="Museo Sans 100" w:cs="Arial"/>
          <w:b/>
          <w:sz w:val="18"/>
        </w:rPr>
        <w:t>2</w:t>
      </w:r>
      <w:r w:rsidR="00064CC8" w:rsidRPr="00C6264C">
        <w:rPr>
          <w:rFonts w:ascii="Museo Sans 100" w:hAnsi="Museo Sans 100" w:cs="Arial"/>
          <w:b/>
          <w:sz w:val="18"/>
        </w:rPr>
        <w:t>)</w:t>
      </w:r>
      <w:r w:rsidR="003E5F72" w:rsidRPr="00C6264C">
        <w:rPr>
          <w:rFonts w:ascii="Museo Sans 100" w:hAnsi="Museo Sans 100" w:cs="Arial"/>
          <w:b/>
          <w:sz w:val="18"/>
        </w:rPr>
        <w:t xml:space="preserve"> </w:t>
      </w:r>
    </w:p>
    <w:p w:rsidR="003C3861" w:rsidRPr="00C6264C" w:rsidRDefault="003C3861" w:rsidP="00675682">
      <w:pPr>
        <w:rPr>
          <w:rFonts w:ascii="Museo Sans 100" w:hAnsi="Museo Sans 100" w:cs="Arial"/>
          <w:b/>
          <w:sz w:val="24"/>
          <w:szCs w:val="24"/>
        </w:rPr>
      </w:pPr>
    </w:p>
    <w:p w:rsidR="003C3861" w:rsidRPr="00C6264C" w:rsidRDefault="003C3861" w:rsidP="003C3861">
      <w:pPr>
        <w:rPr>
          <w:rFonts w:ascii="Museo Sans 100" w:hAnsi="Museo Sans 100" w:cs="Arial"/>
          <w:b/>
          <w:sz w:val="24"/>
          <w:szCs w:val="24"/>
        </w:rPr>
      </w:pPr>
    </w:p>
    <w:p w:rsidR="00196AEB" w:rsidRDefault="00196AEB" w:rsidP="003C3861">
      <w:pPr>
        <w:jc w:val="both"/>
        <w:rPr>
          <w:rFonts w:ascii="Museo Sans 300" w:hAnsi="Museo Sans 300" w:cs="Arial"/>
          <w:sz w:val="24"/>
          <w:szCs w:val="24"/>
        </w:rPr>
      </w:pPr>
    </w:p>
    <w:p w:rsidR="00196AEB" w:rsidRDefault="00196AEB" w:rsidP="003C3861">
      <w:pPr>
        <w:jc w:val="both"/>
        <w:rPr>
          <w:rFonts w:ascii="Museo Sans 300" w:hAnsi="Museo Sans 300" w:cs="Arial"/>
          <w:sz w:val="24"/>
          <w:szCs w:val="24"/>
        </w:rPr>
      </w:pPr>
    </w:p>
    <w:p w:rsidR="00F30277" w:rsidRDefault="00F30277" w:rsidP="003C3861">
      <w:pPr>
        <w:jc w:val="both"/>
        <w:rPr>
          <w:rFonts w:ascii="Museo Sans 300" w:hAnsi="Museo Sans 300" w:cs="Arial"/>
          <w:sz w:val="24"/>
          <w:szCs w:val="24"/>
        </w:rPr>
      </w:pPr>
    </w:p>
    <w:p w:rsidR="00F30277" w:rsidRDefault="00F30277" w:rsidP="003C3861">
      <w:pPr>
        <w:jc w:val="both"/>
        <w:rPr>
          <w:rFonts w:ascii="Museo Sans 300" w:hAnsi="Museo Sans 300" w:cs="Arial"/>
          <w:sz w:val="24"/>
          <w:szCs w:val="24"/>
        </w:rPr>
      </w:pPr>
    </w:p>
    <w:p w:rsidR="00F30277" w:rsidRDefault="00F30277" w:rsidP="003C3861">
      <w:pPr>
        <w:jc w:val="both"/>
        <w:rPr>
          <w:rFonts w:ascii="Museo Sans 300" w:hAnsi="Museo Sans 300" w:cs="Arial"/>
          <w:sz w:val="24"/>
          <w:szCs w:val="24"/>
        </w:rPr>
      </w:pPr>
    </w:p>
    <w:p w:rsidR="00F30277" w:rsidRDefault="00F30277" w:rsidP="003C3861">
      <w:pPr>
        <w:jc w:val="both"/>
        <w:rPr>
          <w:rFonts w:ascii="Museo Sans 300" w:hAnsi="Museo Sans 300" w:cs="Arial"/>
          <w:sz w:val="24"/>
          <w:szCs w:val="24"/>
        </w:rPr>
      </w:pPr>
    </w:p>
    <w:p w:rsidR="0096669A" w:rsidRDefault="005419E3" w:rsidP="009B392F">
      <w:pPr>
        <w:jc w:val="both"/>
        <w:rPr>
          <w:rFonts w:ascii="Museo Sans 300" w:hAnsi="Museo Sans 300" w:cs="Arial"/>
          <w:b/>
          <w:sz w:val="18"/>
          <w:szCs w:val="24"/>
        </w:rPr>
      </w:pPr>
      <w:r w:rsidRPr="00CA7637">
        <w:rPr>
          <w:rFonts w:ascii="Museo Sans 300" w:hAnsi="Museo Sans 300" w:cs="Arial"/>
          <w:b/>
          <w:sz w:val="18"/>
          <w:szCs w:val="24"/>
        </w:rPr>
        <w:t>(Aprobados por el Consejo Directivo del Banco Central de Reserva</w:t>
      </w:r>
      <w:r w:rsidR="009B392F">
        <w:rPr>
          <w:rFonts w:ascii="Museo Sans 300" w:hAnsi="Museo Sans 300" w:cs="Arial"/>
          <w:b/>
          <w:sz w:val="18"/>
          <w:szCs w:val="24"/>
        </w:rPr>
        <w:t xml:space="preserve"> de El Salvador en Sesión No. 13/2017</w:t>
      </w:r>
      <w:r w:rsidRPr="00CA7637">
        <w:rPr>
          <w:rFonts w:ascii="Museo Sans 300" w:hAnsi="Museo Sans 300" w:cs="Arial"/>
          <w:b/>
          <w:sz w:val="18"/>
          <w:szCs w:val="24"/>
        </w:rPr>
        <w:t xml:space="preserve">, del </w:t>
      </w:r>
      <w:r w:rsidR="0096669A" w:rsidRPr="00CA7637">
        <w:rPr>
          <w:rFonts w:ascii="Museo Sans 300" w:hAnsi="Museo Sans 300" w:cs="Arial"/>
          <w:b/>
          <w:sz w:val="18"/>
          <w:szCs w:val="24"/>
        </w:rPr>
        <w:t>2</w:t>
      </w:r>
      <w:r w:rsidR="009B392F">
        <w:rPr>
          <w:rFonts w:ascii="Museo Sans 300" w:hAnsi="Museo Sans 300" w:cs="Arial"/>
          <w:b/>
          <w:sz w:val="18"/>
          <w:szCs w:val="24"/>
        </w:rPr>
        <w:t xml:space="preserve">7 de marzo de 2017) </w:t>
      </w:r>
    </w:p>
    <w:p w:rsidR="00F90255" w:rsidRDefault="00F90255" w:rsidP="009B392F">
      <w:pPr>
        <w:jc w:val="both"/>
        <w:rPr>
          <w:rFonts w:ascii="Museo Sans 300" w:hAnsi="Museo Sans 300" w:cs="Arial"/>
          <w:b/>
          <w:sz w:val="18"/>
          <w:szCs w:val="24"/>
        </w:rPr>
      </w:pPr>
    </w:p>
    <w:p w:rsidR="00C51996" w:rsidRDefault="00C51996" w:rsidP="00C51996">
      <w:pPr>
        <w:jc w:val="both"/>
        <w:rPr>
          <w:rFonts w:ascii="Museo Sans 300" w:hAnsi="Museo Sans 300" w:cs="Arial"/>
          <w:b/>
          <w:sz w:val="18"/>
          <w:szCs w:val="24"/>
        </w:rPr>
      </w:pPr>
    </w:p>
    <w:p w:rsidR="00C51996" w:rsidRDefault="00C51996" w:rsidP="00C51996">
      <w:pPr>
        <w:pStyle w:val="Prrafodelista"/>
        <w:numPr>
          <w:ilvl w:val="0"/>
          <w:numId w:val="34"/>
        </w:numPr>
        <w:tabs>
          <w:tab w:val="left" w:pos="5547"/>
        </w:tabs>
        <w:jc w:val="both"/>
        <w:rPr>
          <w:rFonts w:ascii="Museo Sans 300" w:hAnsi="Museo Sans 300" w:cs="Arial"/>
          <w:sz w:val="24"/>
          <w:szCs w:val="24"/>
        </w:rPr>
      </w:pPr>
      <w:r w:rsidRPr="00F90255">
        <w:rPr>
          <w:rFonts w:ascii="Museo Sans 300" w:hAnsi="Museo Sans 300" w:cs="Arial"/>
          <w:b/>
          <w:sz w:val="18"/>
          <w:szCs w:val="24"/>
        </w:rPr>
        <w:t>Modificación aprobada por el Consejo Directivo del Banco Central de Reserva</w:t>
      </w:r>
      <w:r>
        <w:rPr>
          <w:rFonts w:ascii="Museo Sans 300" w:hAnsi="Museo Sans 300" w:cs="Arial"/>
          <w:b/>
          <w:sz w:val="18"/>
          <w:szCs w:val="24"/>
        </w:rPr>
        <w:t xml:space="preserve"> de El Salvador en Sesión No. </w:t>
      </w:r>
      <w:r w:rsidRPr="00C51996">
        <w:rPr>
          <w:rFonts w:ascii="Museo Sans 300" w:hAnsi="Museo Sans 300" w:cs="Arial"/>
          <w:b/>
          <w:color w:val="000000" w:themeColor="text1"/>
          <w:sz w:val="18"/>
          <w:szCs w:val="24"/>
        </w:rPr>
        <w:t xml:space="preserve">21/2017, del 5 </w:t>
      </w:r>
      <w:r w:rsidRPr="00F90255">
        <w:rPr>
          <w:rFonts w:ascii="Museo Sans 300" w:hAnsi="Museo Sans 300" w:cs="Arial"/>
          <w:b/>
          <w:sz w:val="18"/>
          <w:szCs w:val="24"/>
        </w:rPr>
        <w:t xml:space="preserve">de </w:t>
      </w:r>
      <w:r>
        <w:rPr>
          <w:rFonts w:ascii="Museo Sans 300" w:hAnsi="Museo Sans 300" w:cs="Arial"/>
          <w:b/>
          <w:sz w:val="18"/>
          <w:szCs w:val="24"/>
        </w:rPr>
        <w:t>junio de 2017, con vigencia a partir del 5 de junio</w:t>
      </w:r>
      <w:r w:rsidRPr="00125C01">
        <w:rPr>
          <w:rFonts w:ascii="Museo Sans 300" w:hAnsi="Museo Sans 300" w:cs="Arial"/>
          <w:b/>
          <w:color w:val="FF0000"/>
          <w:sz w:val="18"/>
          <w:szCs w:val="24"/>
        </w:rPr>
        <w:t xml:space="preserve"> </w:t>
      </w:r>
      <w:r>
        <w:rPr>
          <w:rFonts w:ascii="Museo Sans 300" w:hAnsi="Museo Sans 300" w:cs="Arial"/>
          <w:b/>
          <w:sz w:val="18"/>
          <w:szCs w:val="24"/>
        </w:rPr>
        <w:t>de 2017.</w:t>
      </w:r>
      <w:r w:rsidRPr="00F90255">
        <w:rPr>
          <w:rFonts w:ascii="Museo Sans 300" w:hAnsi="Museo Sans 300" w:cs="Arial"/>
          <w:sz w:val="24"/>
          <w:szCs w:val="24"/>
        </w:rPr>
        <w:tab/>
      </w:r>
    </w:p>
    <w:p w:rsidR="00C51996" w:rsidRPr="00C51996" w:rsidRDefault="00C51996" w:rsidP="00C51996">
      <w:pPr>
        <w:pStyle w:val="Prrafodelista"/>
        <w:tabs>
          <w:tab w:val="left" w:pos="5547"/>
        </w:tabs>
        <w:ind w:left="360"/>
        <w:jc w:val="both"/>
        <w:rPr>
          <w:rFonts w:ascii="Museo Sans 300" w:hAnsi="Museo Sans 300" w:cs="Arial"/>
          <w:sz w:val="24"/>
          <w:szCs w:val="24"/>
        </w:rPr>
      </w:pPr>
    </w:p>
    <w:p w:rsidR="003C3861" w:rsidRPr="00F90255" w:rsidRDefault="00F90255" w:rsidP="00F90255">
      <w:pPr>
        <w:pStyle w:val="Prrafodelista"/>
        <w:numPr>
          <w:ilvl w:val="0"/>
          <w:numId w:val="34"/>
        </w:numPr>
        <w:tabs>
          <w:tab w:val="left" w:pos="5547"/>
        </w:tabs>
        <w:jc w:val="both"/>
        <w:rPr>
          <w:rFonts w:ascii="Museo Sans 300" w:hAnsi="Museo Sans 300" w:cs="Arial"/>
          <w:sz w:val="24"/>
          <w:szCs w:val="24"/>
        </w:rPr>
      </w:pPr>
      <w:r w:rsidRPr="00F90255">
        <w:rPr>
          <w:rFonts w:ascii="Museo Sans 300" w:hAnsi="Museo Sans 300" w:cs="Arial"/>
          <w:b/>
          <w:sz w:val="18"/>
          <w:szCs w:val="24"/>
        </w:rPr>
        <w:t>Modificación aprobada por el Consejo Directivo del Banco Central de Reserva</w:t>
      </w:r>
      <w:r w:rsidR="00352484">
        <w:rPr>
          <w:rFonts w:ascii="Museo Sans 300" w:hAnsi="Museo Sans 300" w:cs="Arial"/>
          <w:b/>
          <w:sz w:val="18"/>
          <w:szCs w:val="24"/>
        </w:rPr>
        <w:t xml:space="preserve"> de El Salvador en </w:t>
      </w:r>
      <w:r w:rsidR="00352484" w:rsidRPr="00C51996">
        <w:rPr>
          <w:rFonts w:ascii="Museo Sans 300" w:hAnsi="Museo Sans 300" w:cs="Arial"/>
          <w:b/>
          <w:color w:val="000000" w:themeColor="text1"/>
          <w:sz w:val="18"/>
          <w:szCs w:val="24"/>
        </w:rPr>
        <w:t xml:space="preserve">Sesión No. </w:t>
      </w:r>
      <w:r w:rsidR="00B87DB6" w:rsidRPr="00C51996">
        <w:rPr>
          <w:rFonts w:ascii="Museo Sans 300" w:hAnsi="Museo Sans 300" w:cs="Arial"/>
          <w:b/>
          <w:color w:val="000000" w:themeColor="text1"/>
          <w:sz w:val="18"/>
          <w:szCs w:val="24"/>
        </w:rPr>
        <w:t>32</w:t>
      </w:r>
      <w:r w:rsidR="00352484">
        <w:rPr>
          <w:rFonts w:ascii="Museo Sans 300" w:hAnsi="Museo Sans 300" w:cs="Arial"/>
          <w:b/>
          <w:sz w:val="18"/>
          <w:szCs w:val="24"/>
        </w:rPr>
        <w:t>/2020, del 13</w:t>
      </w:r>
      <w:r w:rsidRPr="00F90255">
        <w:rPr>
          <w:rFonts w:ascii="Museo Sans 300" w:hAnsi="Museo Sans 300" w:cs="Arial"/>
          <w:b/>
          <w:sz w:val="18"/>
          <w:szCs w:val="24"/>
        </w:rPr>
        <w:t xml:space="preserve"> de </w:t>
      </w:r>
      <w:r w:rsidR="00352484">
        <w:rPr>
          <w:rFonts w:ascii="Museo Sans 300" w:hAnsi="Museo Sans 300" w:cs="Arial"/>
          <w:b/>
          <w:sz w:val="18"/>
          <w:szCs w:val="24"/>
        </w:rPr>
        <w:t xml:space="preserve">octubre de 2020, con vigencia a </w:t>
      </w:r>
      <w:r w:rsidR="00352484" w:rsidRPr="00C51996">
        <w:rPr>
          <w:rFonts w:ascii="Museo Sans 300" w:hAnsi="Museo Sans 300" w:cs="Arial"/>
          <w:b/>
          <w:color w:val="000000" w:themeColor="text1"/>
          <w:sz w:val="18"/>
          <w:szCs w:val="24"/>
        </w:rPr>
        <w:t>partir del 1</w:t>
      </w:r>
      <w:r w:rsidR="00337957">
        <w:rPr>
          <w:rFonts w:ascii="Museo Sans 300" w:hAnsi="Museo Sans 300" w:cs="Arial"/>
          <w:b/>
          <w:color w:val="000000" w:themeColor="text1"/>
          <w:sz w:val="18"/>
          <w:szCs w:val="24"/>
        </w:rPr>
        <w:t>5</w:t>
      </w:r>
      <w:r w:rsidR="00352484" w:rsidRPr="00C51996">
        <w:rPr>
          <w:rFonts w:ascii="Museo Sans 300" w:hAnsi="Museo Sans 300" w:cs="Arial"/>
          <w:b/>
          <w:color w:val="000000" w:themeColor="text1"/>
          <w:sz w:val="18"/>
          <w:szCs w:val="24"/>
        </w:rPr>
        <w:t xml:space="preserve"> de octubre de 2020.</w:t>
      </w:r>
      <w:r w:rsidR="0096669A" w:rsidRPr="00C51996">
        <w:rPr>
          <w:rFonts w:ascii="Museo Sans 300" w:hAnsi="Museo Sans 300" w:cs="Arial"/>
          <w:color w:val="000000" w:themeColor="text1"/>
          <w:sz w:val="24"/>
          <w:szCs w:val="24"/>
        </w:rPr>
        <w:tab/>
      </w:r>
      <w:r w:rsidR="0096669A" w:rsidRPr="00F90255">
        <w:rPr>
          <w:rFonts w:ascii="Museo Sans 300" w:hAnsi="Museo Sans 300" w:cs="Arial"/>
          <w:sz w:val="24"/>
          <w:szCs w:val="24"/>
        </w:rPr>
        <w:t xml:space="preserve"> </w:t>
      </w:r>
    </w:p>
    <w:sectPr w:rsidR="003C3861" w:rsidRPr="00F90255" w:rsidSect="00F30277">
      <w:headerReference w:type="default" r:id="rId11"/>
      <w:footerReference w:type="default" r:id="rId12"/>
      <w:pgSz w:w="12240" w:h="15840"/>
      <w:pgMar w:top="18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21" w:rsidRDefault="00132321" w:rsidP="00B12786">
      <w:r>
        <w:separator/>
      </w:r>
    </w:p>
  </w:endnote>
  <w:endnote w:type="continuationSeparator" w:id="0">
    <w:p w:rsidR="00132321" w:rsidRDefault="00132321" w:rsidP="00B1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mbo Std">
    <w:altName w:val="Cambria"/>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27" w:rsidRPr="00F606AB" w:rsidRDefault="00A57227" w:rsidP="00A57227">
    <w:pPr>
      <w:pStyle w:val="Remite"/>
      <w:framePr w:w="0" w:h="0" w:hSpace="0" w:vSpace="0" w:wrap="auto" w:vAnchor="margin" w:hAnchor="text" w:xAlign="left" w:yAlign="inline"/>
      <w:pBdr>
        <w:top w:val="single" w:sz="4" w:space="0" w:color="auto"/>
      </w:pBdr>
      <w:jc w:val="center"/>
      <w:rPr>
        <w:rFonts w:ascii="Trebuchet MS" w:hAnsi="Trebuchet MS" w:cs="Arial"/>
        <w:sz w:val="16"/>
        <w:szCs w:val="16"/>
      </w:rPr>
    </w:pPr>
    <w:r w:rsidRPr="00F606AB">
      <w:rPr>
        <w:rFonts w:ascii="Trebuchet MS" w:hAnsi="Trebuchet MS" w:cs="Arial"/>
        <w:sz w:val="16"/>
        <w:szCs w:val="16"/>
      </w:rPr>
      <w:t>Alameda Jua</w:t>
    </w:r>
    <w:r>
      <w:rPr>
        <w:rFonts w:ascii="Trebuchet MS" w:hAnsi="Trebuchet MS" w:cs="Arial"/>
        <w:sz w:val="16"/>
        <w:szCs w:val="16"/>
      </w:rPr>
      <w:t xml:space="preserve">n Pablo II y 17 Avenida Norte, </w:t>
    </w:r>
    <w:r w:rsidRPr="00F606AB">
      <w:rPr>
        <w:rFonts w:ascii="Trebuchet MS" w:hAnsi="Trebuchet MS" w:cs="Arial"/>
        <w:sz w:val="16"/>
        <w:szCs w:val="16"/>
      </w:rPr>
      <w:t>San Salvador, El Salvador, C. A.</w:t>
    </w:r>
    <w:r>
      <w:rPr>
        <w:rFonts w:ascii="Trebuchet MS" w:hAnsi="Trebuchet MS" w:cs="Arial"/>
        <w:sz w:val="16"/>
        <w:szCs w:val="16"/>
      </w:rPr>
      <w:t xml:space="preserve"> Apartado Postal 106</w:t>
    </w:r>
  </w:p>
  <w:p w:rsidR="00A57227" w:rsidRPr="00F606AB" w:rsidRDefault="00A57227" w:rsidP="00A57227">
    <w:pPr>
      <w:pStyle w:val="Piedepgina"/>
      <w:jc w:val="center"/>
      <w:rPr>
        <w:rFonts w:ascii="Trebuchet MS" w:hAnsi="Trebuchet MS" w:cs="Arial"/>
        <w:sz w:val="16"/>
        <w:szCs w:val="16"/>
      </w:rPr>
    </w:pPr>
    <w:r w:rsidRPr="00F606AB">
      <w:rPr>
        <w:rFonts w:ascii="Trebuchet MS" w:hAnsi="Trebuchet MS" w:cs="Arial"/>
        <w:sz w:val="16"/>
        <w:szCs w:val="16"/>
      </w:rPr>
      <w:t xml:space="preserve">  </w:t>
    </w:r>
    <w:r w:rsidRPr="00F606AB">
      <w:rPr>
        <w:rFonts w:ascii="Trebuchet MS" w:hAnsi="Trebuchet MS" w:cs="Arial"/>
        <w:sz w:val="16"/>
        <w:szCs w:val="16"/>
        <w:lang w:val="pt-BR"/>
      </w:rPr>
      <w:t>Tel</w:t>
    </w:r>
    <w:r>
      <w:rPr>
        <w:rFonts w:ascii="Trebuchet MS" w:hAnsi="Trebuchet MS" w:cs="Arial"/>
        <w:sz w:val="16"/>
        <w:szCs w:val="16"/>
        <w:lang w:val="pt-BR"/>
      </w:rPr>
      <w:t>: (503) 2281- 8402 y 8403</w:t>
    </w:r>
    <w:r w:rsidRPr="00F606AB">
      <w:rPr>
        <w:rFonts w:ascii="Trebuchet MS" w:hAnsi="Trebuchet MS" w:cs="Arial"/>
        <w:sz w:val="16"/>
        <w:szCs w:val="16"/>
        <w:lang w:val="pt-BR"/>
      </w:rPr>
      <w:t xml:space="preserve"> -  </w:t>
    </w:r>
    <w:r>
      <w:rPr>
        <w:rFonts w:ascii="Trebuchet MS" w:hAnsi="Trebuchet MS" w:cs="Arial"/>
        <w:sz w:val="16"/>
        <w:szCs w:val="16"/>
        <w:lang w:val="pt-BR"/>
      </w:rPr>
      <w:t>Fax: (503) 2281- 8401</w:t>
    </w:r>
    <w:r w:rsidRPr="00F606AB">
      <w:rPr>
        <w:rFonts w:ascii="Trebuchet MS" w:hAnsi="Trebuchet MS" w:cs="Arial"/>
        <w:sz w:val="16"/>
        <w:szCs w:val="16"/>
        <w:lang w:val="pt-BR"/>
      </w:rPr>
      <w:t xml:space="preserve"> </w:t>
    </w:r>
    <w:r w:rsidRPr="00F606AB">
      <w:rPr>
        <w:rFonts w:ascii="Trebuchet MS" w:hAnsi="Trebuchet MS" w:cs="Arial"/>
        <w:sz w:val="16"/>
        <w:szCs w:val="16"/>
      </w:rPr>
      <w:t>*</w:t>
    </w:r>
    <w:r>
      <w:rPr>
        <w:rFonts w:ascii="Trebuchet MS" w:hAnsi="Trebuchet MS" w:cs="Arial"/>
        <w:sz w:val="16"/>
        <w:szCs w:val="16"/>
      </w:rPr>
      <w:t>http/www</w:t>
    </w:r>
    <w:r w:rsidRPr="00F606AB">
      <w:rPr>
        <w:rFonts w:ascii="Trebuchet MS" w:hAnsi="Trebuchet MS" w:cs="Arial"/>
        <w:sz w:val="16"/>
        <w:szCs w:val="16"/>
      </w:rPr>
      <w:t>.bcr.gob.sv</w:t>
    </w:r>
  </w:p>
  <w:p w:rsidR="00A57227" w:rsidRPr="00F606AB" w:rsidRDefault="00A57227" w:rsidP="00A57227">
    <w:pPr>
      <w:pStyle w:val="Piedepgina"/>
      <w:rPr>
        <w:rFonts w:ascii="Verdana" w:hAnsi="Verdana" w:cs="Arial"/>
        <w:b/>
        <w:sz w:val="14"/>
        <w:szCs w:val="14"/>
      </w:rPr>
    </w:pPr>
    <w:r>
      <w:rPr>
        <w:rFonts w:ascii="Verdana" w:hAnsi="Verdana" w:cs="Arial"/>
        <w:b/>
        <w:noProof/>
        <w:sz w:val="14"/>
        <w:szCs w:val="14"/>
        <w:lang w:eastAsia="es-SV"/>
      </w:rPr>
      <w:drawing>
        <wp:anchor distT="0" distB="0" distL="114300" distR="114300" simplePos="0" relativeHeight="251659264" behindDoc="0" locked="0" layoutInCell="1" allowOverlap="1" wp14:anchorId="360D2B96" wp14:editId="25C6185F">
          <wp:simplePos x="0" y="0"/>
          <wp:positionH relativeFrom="column">
            <wp:posOffset>-1169035</wp:posOffset>
          </wp:positionH>
          <wp:positionV relativeFrom="paragraph">
            <wp:posOffset>1193165</wp:posOffset>
          </wp:positionV>
          <wp:extent cx="7823200" cy="558800"/>
          <wp:effectExtent l="1905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7823200" cy="558800"/>
                  </a:xfrm>
                  <a:prstGeom prst="rect">
                    <a:avLst/>
                  </a:prstGeom>
                  <a:noFill/>
                </pic:spPr>
              </pic:pic>
            </a:graphicData>
          </a:graphic>
        </wp:anchor>
      </w:drawing>
    </w:r>
  </w:p>
  <w:p w:rsidR="00A57227" w:rsidRPr="000B0B6F" w:rsidRDefault="00581F19" w:rsidP="00A57227">
    <w:pPr>
      <w:pStyle w:val="Piedepgina"/>
      <w:jc w:val="center"/>
      <w:rPr>
        <w:rFonts w:ascii="Bembo Std" w:hAnsi="Bembo Std"/>
        <w:color w:val="000000" w:themeColor="text1"/>
      </w:rPr>
    </w:pPr>
    <w:r>
      <w:rPr>
        <w:rFonts w:ascii="Arial Narrow" w:hAnsi="Arial Narrow"/>
        <w:noProof/>
        <w:sz w:val="20"/>
        <w:szCs w:val="20"/>
        <w:lang w:eastAsia="es-SV"/>
      </w:rPr>
      <mc:AlternateContent>
        <mc:Choice Requires="wps">
          <w:drawing>
            <wp:anchor distT="0" distB="0" distL="114300" distR="114300" simplePos="0" relativeHeight="251661312" behindDoc="0" locked="0" layoutInCell="1" allowOverlap="1" wp14:anchorId="729089FB" wp14:editId="5411E9F9">
              <wp:simplePos x="0" y="0"/>
              <wp:positionH relativeFrom="column">
                <wp:posOffset>4710223</wp:posOffset>
              </wp:positionH>
              <wp:positionV relativeFrom="paragraph">
                <wp:posOffset>45705</wp:posOffset>
              </wp:positionV>
              <wp:extent cx="958215" cy="266700"/>
              <wp:effectExtent l="2540" t="3810" r="127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19" w:rsidRPr="000A65EE" w:rsidRDefault="00581F19" w:rsidP="00581F19">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sidR="00D7290F">
                            <w:rPr>
                              <w:rFonts w:ascii="Arial Narrow" w:hAnsi="Arial Narrow"/>
                              <w:noProof/>
                              <w:sz w:val="20"/>
                              <w:szCs w:val="20"/>
                            </w:rPr>
                            <w:t>2</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sidR="00D7290F">
                            <w:rPr>
                              <w:rFonts w:ascii="Arial Narrow" w:hAnsi="Arial Narrow"/>
                              <w:noProof/>
                              <w:sz w:val="20"/>
                              <w:szCs w:val="20"/>
                            </w:rPr>
                            <w:t>2</w:t>
                          </w:r>
                          <w:r w:rsidRPr="008B7E89">
                            <w:rPr>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89FB" id="_x0000_t202" coordsize="21600,21600" o:spt="202" path="m,l,21600r21600,l21600,xe">
              <v:stroke joinstyle="miter"/>
              <v:path gradientshapeok="t" o:connecttype="rect"/>
            </v:shapetype>
            <v:shape id="_x0000_s1027" type="#_x0000_t202" style="position:absolute;left:0;text-align:left;margin-left:370.9pt;margin-top:3.6pt;width:75.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" filled="f" stroked="f">
              <v:textbox>
                <w:txbxContent>
                  <w:p w:rsidR="00581F19" w:rsidRPr="000A65EE" w:rsidRDefault="00581F19" w:rsidP="00581F19">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sidR="00D7290F">
                      <w:rPr>
                        <w:rFonts w:ascii="Arial Narrow" w:hAnsi="Arial Narrow"/>
                        <w:noProof/>
                        <w:sz w:val="20"/>
                        <w:szCs w:val="20"/>
                      </w:rPr>
                      <w:t>2</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sidR="00D7290F">
                      <w:rPr>
                        <w:rFonts w:ascii="Arial Narrow" w:hAnsi="Arial Narrow"/>
                        <w:noProof/>
                        <w:sz w:val="20"/>
                        <w:szCs w:val="20"/>
                      </w:rPr>
                      <w:t>2</w:t>
                    </w:r>
                    <w:r w:rsidRPr="008B7E89">
                      <w:rPr>
                        <w:rFonts w:ascii="Arial Narrow" w:hAnsi="Arial Narrow"/>
                        <w:sz w:val="20"/>
                        <w:szCs w:val="20"/>
                      </w:rPr>
                      <w:fldChar w:fldCharType="end"/>
                    </w:r>
                  </w:p>
                </w:txbxContent>
              </v:textbox>
            </v:shape>
          </w:pict>
        </mc:Fallback>
      </mc:AlternateContent>
    </w:r>
  </w:p>
  <w:p w:rsidR="00A57227" w:rsidRDefault="00A57227">
    <w:pPr>
      <w:pStyle w:val="Piedepgina"/>
    </w:pPr>
  </w:p>
  <w:p w:rsidR="00A57227" w:rsidRDefault="00A572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21" w:rsidRDefault="00132321" w:rsidP="00B12786">
      <w:r>
        <w:separator/>
      </w:r>
    </w:p>
  </w:footnote>
  <w:footnote w:type="continuationSeparator" w:id="0">
    <w:p w:rsidR="00132321" w:rsidRDefault="00132321" w:rsidP="00B127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24" w:type="dxa"/>
      <w:tblInd w:w="-10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127"/>
      <w:gridCol w:w="6662"/>
      <w:gridCol w:w="2135"/>
    </w:tblGrid>
    <w:tr w:rsidR="00FB6F84" w:rsidRPr="006F4F67" w:rsidTr="00F30277">
      <w:trPr>
        <w:trHeight w:val="599"/>
      </w:trPr>
      <w:tc>
        <w:tcPr>
          <w:tcW w:w="2127" w:type="dxa"/>
          <w:shd w:val="clear" w:color="auto" w:fill="auto"/>
          <w:vAlign w:val="center"/>
        </w:tcPr>
        <w:p w:rsidR="00FB6F84" w:rsidRPr="006F4F67" w:rsidRDefault="00FB6F84" w:rsidP="00DB3547">
          <w:pPr>
            <w:pStyle w:val="Encabezado"/>
            <w:tabs>
              <w:tab w:val="clear" w:pos="8838"/>
              <w:tab w:val="right" w:pos="8681"/>
            </w:tabs>
            <w:ind w:left="33"/>
            <w:jc w:val="center"/>
            <w:rPr>
              <w:rFonts w:ascii="Museo Sans 300" w:hAnsi="Museo Sans 300"/>
              <w:sz w:val="20"/>
            </w:rPr>
          </w:pPr>
          <w:r w:rsidRPr="006F4F67">
            <w:rPr>
              <w:rFonts w:ascii="Museo Sans 300" w:hAnsi="Museo Sans 300"/>
              <w:sz w:val="20"/>
            </w:rPr>
            <w:t xml:space="preserve">CD - </w:t>
          </w:r>
          <w:r w:rsidR="0023388E">
            <w:rPr>
              <w:rFonts w:ascii="Museo Sans 300" w:hAnsi="Museo Sans 300"/>
              <w:sz w:val="20"/>
            </w:rPr>
            <w:t>13</w:t>
          </w:r>
          <w:r w:rsidRPr="006F4F67">
            <w:rPr>
              <w:rFonts w:ascii="Museo Sans 300" w:hAnsi="Museo Sans 300"/>
              <w:sz w:val="20"/>
            </w:rPr>
            <w:t>/20</w:t>
          </w:r>
          <w:r w:rsidR="0023388E">
            <w:rPr>
              <w:rFonts w:ascii="Museo Sans 300" w:hAnsi="Museo Sans 300"/>
              <w:sz w:val="20"/>
            </w:rPr>
            <w:t>17</w:t>
          </w:r>
        </w:p>
      </w:tc>
      <w:tc>
        <w:tcPr>
          <w:tcW w:w="6662" w:type="dxa"/>
          <w:vMerge w:val="restart"/>
          <w:shd w:val="clear" w:color="auto" w:fill="auto"/>
          <w:vAlign w:val="center"/>
        </w:tcPr>
        <w:p w:rsidR="0023388E" w:rsidRDefault="00DB3547" w:rsidP="00DB3547">
          <w:pPr>
            <w:jc w:val="center"/>
            <w:rPr>
              <w:rFonts w:ascii="Museo Sans 300" w:hAnsi="Museo Sans 300" w:cs="Arial"/>
              <w:b/>
              <w:sz w:val="20"/>
              <w:szCs w:val="24"/>
            </w:rPr>
          </w:pPr>
          <w:r w:rsidRPr="00DB3547">
            <w:rPr>
              <w:rFonts w:ascii="Museo Sans 300" w:hAnsi="Museo Sans 300" w:cs="Arial"/>
              <w:b/>
              <w:sz w:val="20"/>
              <w:szCs w:val="24"/>
            </w:rPr>
            <w:t xml:space="preserve">LINEAMIENTOS MÍNIMOS </w:t>
          </w:r>
          <w:r w:rsidR="0023388E">
            <w:rPr>
              <w:rFonts w:ascii="Museo Sans 300" w:hAnsi="Museo Sans 300" w:cs="Arial"/>
              <w:b/>
              <w:sz w:val="20"/>
              <w:szCs w:val="24"/>
            </w:rPr>
            <w:t xml:space="preserve">PARA LA OPERACIÓN ACTIVA </w:t>
          </w:r>
        </w:p>
        <w:p w:rsidR="003C3861" w:rsidRDefault="0023388E" w:rsidP="0023388E">
          <w:pPr>
            <w:jc w:val="center"/>
            <w:rPr>
              <w:rFonts w:ascii="Museo Sans 300" w:hAnsi="Museo Sans 300" w:cs="Arial"/>
              <w:b/>
              <w:sz w:val="20"/>
              <w:szCs w:val="24"/>
            </w:rPr>
          </w:pPr>
          <w:r>
            <w:rPr>
              <w:rFonts w:ascii="Museo Sans 300" w:hAnsi="Museo Sans 300" w:cs="Arial"/>
              <w:b/>
              <w:sz w:val="20"/>
              <w:szCs w:val="24"/>
            </w:rPr>
            <w:t>DE FACTORAJE DE L</w:t>
          </w:r>
          <w:r w:rsidR="00C51996">
            <w:rPr>
              <w:rFonts w:ascii="Museo Sans 300" w:hAnsi="Museo Sans 300" w:cs="Arial"/>
              <w:b/>
              <w:sz w:val="20"/>
              <w:szCs w:val="24"/>
            </w:rPr>
            <w:t>OS BANCOS, BANCOS COOPERATIVOS</w:t>
          </w:r>
          <w:r>
            <w:rPr>
              <w:rFonts w:ascii="Museo Sans 300" w:hAnsi="Museo Sans 300" w:cs="Arial"/>
              <w:b/>
              <w:sz w:val="20"/>
              <w:szCs w:val="24"/>
            </w:rPr>
            <w:t xml:space="preserve"> </w:t>
          </w:r>
          <w:r w:rsidR="00C51996">
            <w:rPr>
              <w:rFonts w:ascii="Museo Sans 300" w:hAnsi="Museo Sans 300" w:cs="Arial"/>
              <w:b/>
              <w:sz w:val="20"/>
              <w:szCs w:val="24"/>
            </w:rPr>
            <w:t xml:space="preserve">Y </w:t>
          </w:r>
        </w:p>
        <w:p w:rsidR="00C51996" w:rsidRPr="00DB3547" w:rsidRDefault="00C51996" w:rsidP="0023388E">
          <w:pPr>
            <w:jc w:val="center"/>
            <w:rPr>
              <w:rFonts w:ascii="Museo Sans 300" w:hAnsi="Museo Sans 300" w:cs="Arial"/>
              <w:b/>
              <w:sz w:val="20"/>
              <w:szCs w:val="24"/>
            </w:rPr>
          </w:pPr>
          <w:r>
            <w:rPr>
              <w:rFonts w:ascii="Museo Sans 300" w:hAnsi="Museo Sans 300" w:cs="Arial"/>
              <w:b/>
              <w:sz w:val="20"/>
              <w:szCs w:val="24"/>
            </w:rPr>
            <w:t>SOCIEDADES DE AHORRO Y CRÉDITO</w:t>
          </w:r>
        </w:p>
      </w:tc>
      <w:tc>
        <w:tcPr>
          <w:tcW w:w="2135" w:type="dxa"/>
          <w:vMerge w:val="restart"/>
          <w:shd w:val="clear" w:color="auto" w:fill="auto"/>
          <w:vAlign w:val="center"/>
        </w:tcPr>
        <w:p w:rsidR="00FB6F84" w:rsidRPr="006F4F67" w:rsidRDefault="00654D67" w:rsidP="00F30277">
          <w:pPr>
            <w:pStyle w:val="Encabezado"/>
            <w:tabs>
              <w:tab w:val="right" w:pos="15026"/>
            </w:tabs>
            <w:ind w:right="-93"/>
            <w:jc w:val="center"/>
            <w:rPr>
              <w:rFonts w:ascii="Museo Sans 300" w:hAnsi="Museo Sans 300"/>
              <w:sz w:val="20"/>
            </w:rPr>
          </w:pPr>
          <w:r>
            <w:rPr>
              <w:rFonts w:ascii="Museo Sans 300" w:hAnsi="Museo Sans 300"/>
              <w:noProof/>
              <w:sz w:val="20"/>
              <w:lang w:eastAsia="es-SV"/>
            </w:rPr>
            <w:drawing>
              <wp:inline distT="0" distB="0" distL="0" distR="0" wp14:anchorId="7502D569" wp14:editId="7502D56A">
                <wp:extent cx="1243965" cy="6337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FB6F84" w:rsidRPr="006F4F67" w:rsidTr="00F30277">
      <w:trPr>
        <w:trHeight w:val="599"/>
      </w:trPr>
      <w:tc>
        <w:tcPr>
          <w:tcW w:w="2127" w:type="dxa"/>
          <w:shd w:val="clear" w:color="auto" w:fill="auto"/>
          <w:vAlign w:val="center"/>
        </w:tcPr>
        <w:p w:rsidR="00FB6F84" w:rsidRPr="006F4F67" w:rsidRDefault="003C3861" w:rsidP="00DB3547">
          <w:pPr>
            <w:pStyle w:val="Encabezado"/>
            <w:jc w:val="center"/>
            <w:rPr>
              <w:rFonts w:ascii="Museo Sans 300" w:eastAsia="Times New Roman" w:hAnsi="Museo Sans 300" w:cs="Times New Roman"/>
              <w:b/>
              <w:kern w:val="28"/>
              <w:sz w:val="20"/>
              <w:szCs w:val="20"/>
              <w:lang w:val="es-ES_tradnl" w:eastAsia="es-ES"/>
            </w:rPr>
          </w:pPr>
          <w:r w:rsidRPr="006F4F67">
            <w:rPr>
              <w:rFonts w:ascii="Museo Sans 300" w:hAnsi="Museo Sans 300"/>
              <w:sz w:val="20"/>
            </w:rPr>
            <w:t xml:space="preserve">Aprobación: </w:t>
          </w:r>
          <w:r w:rsidR="0023388E">
            <w:rPr>
              <w:rFonts w:ascii="Museo Sans 300" w:hAnsi="Museo Sans 300"/>
              <w:sz w:val="20"/>
            </w:rPr>
            <w:t>27</w:t>
          </w:r>
          <w:r w:rsidR="00FB6F84" w:rsidRPr="006F4F67">
            <w:rPr>
              <w:rFonts w:ascii="Museo Sans 300" w:hAnsi="Museo Sans 300"/>
              <w:sz w:val="20"/>
            </w:rPr>
            <w:t>/0</w:t>
          </w:r>
          <w:r w:rsidR="00DB3547">
            <w:rPr>
              <w:rFonts w:ascii="Museo Sans 300" w:hAnsi="Museo Sans 300"/>
              <w:sz w:val="20"/>
            </w:rPr>
            <w:t>3</w:t>
          </w:r>
          <w:r w:rsidR="00FB6F84" w:rsidRPr="006F4F67">
            <w:rPr>
              <w:rFonts w:ascii="Museo Sans 300" w:hAnsi="Museo Sans 300"/>
              <w:sz w:val="20"/>
            </w:rPr>
            <w:t>/20</w:t>
          </w:r>
          <w:r w:rsidR="0023388E">
            <w:rPr>
              <w:rFonts w:ascii="Museo Sans 300" w:hAnsi="Museo Sans 300"/>
              <w:sz w:val="20"/>
            </w:rPr>
            <w:t>17</w:t>
          </w:r>
        </w:p>
      </w:tc>
      <w:tc>
        <w:tcPr>
          <w:tcW w:w="6662" w:type="dxa"/>
          <w:vMerge/>
          <w:shd w:val="clear" w:color="auto" w:fill="auto"/>
          <w:vAlign w:val="center"/>
        </w:tcPr>
        <w:p w:rsidR="00FB6F84" w:rsidRPr="006F4F67" w:rsidRDefault="00FB6F84" w:rsidP="00753C83">
          <w:pPr>
            <w:pStyle w:val="Ttulo"/>
            <w:ind w:right="-142"/>
            <w:rPr>
              <w:rFonts w:ascii="Museo Sans 300" w:hAnsi="Museo Sans 300" w:cs="Arial"/>
              <w:sz w:val="20"/>
              <w:szCs w:val="24"/>
            </w:rPr>
          </w:pPr>
        </w:p>
      </w:tc>
      <w:tc>
        <w:tcPr>
          <w:tcW w:w="2135" w:type="dxa"/>
          <w:vMerge/>
          <w:shd w:val="clear" w:color="auto" w:fill="auto"/>
        </w:tcPr>
        <w:p w:rsidR="00FB6F84" w:rsidRPr="006F4F67" w:rsidRDefault="00FB6F84">
          <w:pPr>
            <w:pStyle w:val="Encabezado"/>
            <w:rPr>
              <w:rFonts w:ascii="Museo Sans 300" w:hAnsi="Museo Sans 300"/>
              <w:noProof/>
              <w:sz w:val="20"/>
              <w:lang w:val="es-MX" w:eastAsia="es-MX"/>
            </w:rPr>
          </w:pPr>
        </w:p>
      </w:tc>
    </w:tr>
    <w:tr w:rsidR="00FB6F84" w:rsidRPr="006F4F67" w:rsidTr="00F30277">
      <w:trPr>
        <w:trHeight w:val="599"/>
      </w:trPr>
      <w:tc>
        <w:tcPr>
          <w:tcW w:w="2127" w:type="dxa"/>
          <w:shd w:val="clear" w:color="auto" w:fill="auto"/>
          <w:vAlign w:val="center"/>
        </w:tcPr>
        <w:p w:rsidR="00FB6F84" w:rsidRPr="006F4F67" w:rsidRDefault="003C3861" w:rsidP="0096106E">
          <w:pPr>
            <w:pStyle w:val="Encabezado"/>
            <w:jc w:val="center"/>
            <w:rPr>
              <w:rFonts w:ascii="Museo Sans 300" w:eastAsia="Times New Roman" w:hAnsi="Museo Sans 300" w:cs="Times New Roman"/>
              <w:b/>
              <w:kern w:val="28"/>
              <w:sz w:val="20"/>
              <w:szCs w:val="20"/>
              <w:lang w:val="es-ES_tradnl" w:eastAsia="es-ES"/>
            </w:rPr>
          </w:pPr>
          <w:r w:rsidRPr="00343FF3">
            <w:rPr>
              <w:rFonts w:ascii="Museo Sans 300" w:hAnsi="Museo Sans 300"/>
              <w:sz w:val="20"/>
            </w:rPr>
            <w:t xml:space="preserve">Vigencia: </w:t>
          </w:r>
          <w:r w:rsidR="0023388E">
            <w:rPr>
              <w:rFonts w:ascii="Museo Sans 300" w:hAnsi="Museo Sans 300"/>
              <w:sz w:val="20"/>
            </w:rPr>
            <w:t>27</w:t>
          </w:r>
          <w:r w:rsidR="00FB6F84" w:rsidRPr="00343FF3">
            <w:rPr>
              <w:rFonts w:ascii="Museo Sans 300" w:hAnsi="Museo Sans 300"/>
              <w:sz w:val="20"/>
            </w:rPr>
            <w:t>/0</w:t>
          </w:r>
          <w:r w:rsidR="0096106E" w:rsidRPr="00343FF3">
            <w:rPr>
              <w:rFonts w:ascii="Museo Sans 300" w:hAnsi="Museo Sans 300"/>
              <w:sz w:val="20"/>
            </w:rPr>
            <w:t>3</w:t>
          </w:r>
          <w:r w:rsidR="00FB6F84" w:rsidRPr="00343FF3">
            <w:rPr>
              <w:rFonts w:ascii="Museo Sans 300" w:hAnsi="Museo Sans 300"/>
              <w:sz w:val="20"/>
            </w:rPr>
            <w:t>/20</w:t>
          </w:r>
          <w:r w:rsidR="0023388E">
            <w:rPr>
              <w:rFonts w:ascii="Museo Sans 300" w:hAnsi="Museo Sans 300"/>
              <w:sz w:val="20"/>
            </w:rPr>
            <w:t>17</w:t>
          </w:r>
        </w:p>
      </w:tc>
      <w:tc>
        <w:tcPr>
          <w:tcW w:w="6662" w:type="dxa"/>
          <w:vMerge/>
          <w:shd w:val="clear" w:color="auto" w:fill="auto"/>
          <w:vAlign w:val="center"/>
        </w:tcPr>
        <w:p w:rsidR="00FB6F84" w:rsidRPr="006F4F67" w:rsidRDefault="00FB6F84" w:rsidP="00753C83">
          <w:pPr>
            <w:pStyle w:val="Ttulo"/>
            <w:ind w:right="-142"/>
            <w:rPr>
              <w:rFonts w:ascii="Museo Sans 300" w:hAnsi="Museo Sans 300" w:cs="Arial"/>
              <w:sz w:val="20"/>
              <w:szCs w:val="24"/>
            </w:rPr>
          </w:pPr>
        </w:p>
      </w:tc>
      <w:tc>
        <w:tcPr>
          <w:tcW w:w="2135" w:type="dxa"/>
          <w:vMerge/>
          <w:shd w:val="clear" w:color="auto" w:fill="auto"/>
        </w:tcPr>
        <w:p w:rsidR="00FB6F84" w:rsidRPr="006F4F67" w:rsidRDefault="00FB6F84">
          <w:pPr>
            <w:pStyle w:val="Encabezado"/>
            <w:rPr>
              <w:rFonts w:ascii="Museo Sans 300" w:hAnsi="Museo Sans 300"/>
              <w:noProof/>
              <w:sz w:val="20"/>
              <w:lang w:val="es-MX" w:eastAsia="es-MX"/>
            </w:rPr>
          </w:pPr>
        </w:p>
      </w:tc>
    </w:tr>
  </w:tbl>
  <w:p w:rsidR="00FB6F84" w:rsidRPr="006F4F67" w:rsidRDefault="00FB6F84">
    <w:pPr>
      <w:pStyle w:val="Encabezado"/>
      <w:rPr>
        <w:rFonts w:ascii="Museo Sans 300" w:hAnsi="Museo Sans 3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43E"/>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F11F76"/>
    <w:multiLevelType w:val="hybridMultilevel"/>
    <w:tmpl w:val="12B03564"/>
    <w:lvl w:ilvl="0" w:tplc="9E721168">
      <w:start w:val="1"/>
      <w:numFmt w:val="decimal"/>
      <w:lvlText w:val="(%1)"/>
      <w:lvlJc w:val="left"/>
      <w:pPr>
        <w:ind w:left="360" w:hanging="360"/>
      </w:pPr>
      <w:rPr>
        <w:rFonts w:hint="default"/>
        <w:sz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77E74F9"/>
    <w:multiLevelType w:val="hybridMultilevel"/>
    <w:tmpl w:val="207EF568"/>
    <w:lvl w:ilvl="0" w:tplc="6B3A0034">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0C52DF"/>
    <w:multiLevelType w:val="hybridMultilevel"/>
    <w:tmpl w:val="1A00B54E"/>
    <w:lvl w:ilvl="0" w:tplc="080A000F">
      <w:start w:val="1"/>
      <w:numFmt w:val="decimal"/>
      <w:lvlText w:val="%1."/>
      <w:lvlJc w:val="left"/>
      <w:pPr>
        <w:ind w:left="720" w:hanging="360"/>
      </w:pPr>
    </w:lvl>
    <w:lvl w:ilvl="1" w:tplc="080A0017">
      <w:start w:val="1"/>
      <w:numFmt w:val="lowerLetter"/>
      <w:lvlText w:val="%2)"/>
      <w:lvlJc w:val="left"/>
      <w:pPr>
        <w:ind w:left="786"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D009AE"/>
    <w:multiLevelType w:val="hybridMultilevel"/>
    <w:tmpl w:val="441081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C5238D"/>
    <w:multiLevelType w:val="hybridMultilevel"/>
    <w:tmpl w:val="9798357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0805883"/>
    <w:multiLevelType w:val="hybridMultilevel"/>
    <w:tmpl w:val="6EB492C6"/>
    <w:lvl w:ilvl="0" w:tplc="1E4E09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C11071"/>
    <w:multiLevelType w:val="hybridMultilevel"/>
    <w:tmpl w:val="CB46E016"/>
    <w:lvl w:ilvl="0" w:tplc="440A001B">
      <w:start w:val="1"/>
      <w:numFmt w:val="low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30F43A7D"/>
    <w:multiLevelType w:val="hybridMultilevel"/>
    <w:tmpl w:val="2040BF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C446EE"/>
    <w:multiLevelType w:val="hybridMultilevel"/>
    <w:tmpl w:val="DCC87492"/>
    <w:lvl w:ilvl="0" w:tplc="6B3A0034">
      <w:start w:val="1"/>
      <w:numFmt w:val="lowerLetter"/>
      <w:lvlText w:val="%1)"/>
      <w:lvlJc w:val="left"/>
      <w:pPr>
        <w:ind w:left="1074" w:hanging="360"/>
      </w:pPr>
      <w:rPr>
        <w:rFonts w:hint="default"/>
        <w:b w:val="0"/>
        <w:color w:val="auto"/>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0" w15:restartNumberingAfterBreak="0">
    <w:nsid w:val="3B446EB3"/>
    <w:multiLevelType w:val="hybridMultilevel"/>
    <w:tmpl w:val="2DB4E21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DF5216B"/>
    <w:multiLevelType w:val="hybridMultilevel"/>
    <w:tmpl w:val="4C0AA0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1F22D5C"/>
    <w:multiLevelType w:val="hybridMultilevel"/>
    <w:tmpl w:val="C99C03D0"/>
    <w:lvl w:ilvl="0" w:tplc="74488B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063"/>
    <w:multiLevelType w:val="hybridMultilevel"/>
    <w:tmpl w:val="C3B21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BD5871"/>
    <w:multiLevelType w:val="hybridMultilevel"/>
    <w:tmpl w:val="EDBAA012"/>
    <w:lvl w:ilvl="0" w:tplc="504E3300">
      <w:start w:val="1"/>
      <w:numFmt w:val="decimal"/>
      <w:lvlText w:val="(%1)"/>
      <w:lvlJc w:val="left"/>
      <w:pPr>
        <w:ind w:left="720" w:hanging="360"/>
      </w:pPr>
      <w:rPr>
        <w:rFonts w:hint="default"/>
        <w:b/>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54C4121"/>
    <w:multiLevelType w:val="hybridMultilevel"/>
    <w:tmpl w:val="9798357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57D0F67"/>
    <w:multiLevelType w:val="hybridMultilevel"/>
    <w:tmpl w:val="2486A1EC"/>
    <w:lvl w:ilvl="0" w:tplc="440A001B">
      <w:start w:val="1"/>
      <w:numFmt w:val="low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470B2C00"/>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E84A38"/>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EA7003"/>
    <w:multiLevelType w:val="hybridMultilevel"/>
    <w:tmpl w:val="954641C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1D7DBA"/>
    <w:multiLevelType w:val="hybridMultilevel"/>
    <w:tmpl w:val="0FFED24E"/>
    <w:lvl w:ilvl="0" w:tplc="0D3ACD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343A31"/>
    <w:multiLevelType w:val="hybridMultilevel"/>
    <w:tmpl w:val="441081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CD4CA3"/>
    <w:multiLevelType w:val="hybridMultilevel"/>
    <w:tmpl w:val="BC741E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6DB5AA4"/>
    <w:multiLevelType w:val="hybridMultilevel"/>
    <w:tmpl w:val="2B8AA0A8"/>
    <w:lvl w:ilvl="0" w:tplc="080A0017">
      <w:start w:val="1"/>
      <w:numFmt w:val="lowerLetter"/>
      <w:lvlText w:val="%1)"/>
      <w:lvlJc w:val="left"/>
      <w:pPr>
        <w:ind w:left="360" w:hanging="360"/>
      </w:pPr>
    </w:lvl>
    <w:lvl w:ilvl="1" w:tplc="080A0017">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A9437CE"/>
    <w:multiLevelType w:val="hybridMultilevel"/>
    <w:tmpl w:val="9798357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F2B455B"/>
    <w:multiLevelType w:val="hybridMultilevel"/>
    <w:tmpl w:val="F3E2CA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8A7319"/>
    <w:multiLevelType w:val="hybridMultilevel"/>
    <w:tmpl w:val="CA024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0F087C"/>
    <w:multiLevelType w:val="hybridMultilevel"/>
    <w:tmpl w:val="6C5CA8B4"/>
    <w:lvl w:ilvl="0" w:tplc="949A7BDE">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C71F50"/>
    <w:multiLevelType w:val="multilevel"/>
    <w:tmpl w:val="CC76471C"/>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FD60DD"/>
    <w:multiLevelType w:val="hybridMultilevel"/>
    <w:tmpl w:val="95043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B563EC"/>
    <w:multiLevelType w:val="hybridMultilevel"/>
    <w:tmpl w:val="298C2E4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762956D6"/>
    <w:multiLevelType w:val="hybridMultilevel"/>
    <w:tmpl w:val="8F762E2A"/>
    <w:lvl w:ilvl="0" w:tplc="B3B6F0E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BE002A2"/>
    <w:multiLevelType w:val="hybridMultilevel"/>
    <w:tmpl w:val="64D265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7C8977E7"/>
    <w:multiLevelType w:val="hybridMultilevel"/>
    <w:tmpl w:val="E0E419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8"/>
  </w:num>
  <w:num w:numId="3">
    <w:abstractNumId w:val="28"/>
  </w:num>
  <w:num w:numId="4">
    <w:abstractNumId w:val="31"/>
  </w:num>
  <w:num w:numId="5">
    <w:abstractNumId w:val="17"/>
  </w:num>
  <w:num w:numId="6">
    <w:abstractNumId w:val="0"/>
  </w:num>
  <w:num w:numId="7">
    <w:abstractNumId w:val="21"/>
  </w:num>
  <w:num w:numId="8">
    <w:abstractNumId w:val="4"/>
  </w:num>
  <w:num w:numId="9">
    <w:abstractNumId w:val="25"/>
  </w:num>
  <w:num w:numId="10">
    <w:abstractNumId w:val="11"/>
  </w:num>
  <w:num w:numId="11">
    <w:abstractNumId w:val="33"/>
  </w:num>
  <w:num w:numId="12">
    <w:abstractNumId w:val="19"/>
  </w:num>
  <w:num w:numId="13">
    <w:abstractNumId w:val="22"/>
  </w:num>
  <w:num w:numId="14">
    <w:abstractNumId w:val="29"/>
  </w:num>
  <w:num w:numId="15">
    <w:abstractNumId w:val="26"/>
  </w:num>
  <w:num w:numId="16">
    <w:abstractNumId w:val="13"/>
  </w:num>
  <w:num w:numId="17">
    <w:abstractNumId w:val="27"/>
  </w:num>
  <w:num w:numId="18">
    <w:abstractNumId w:val="2"/>
  </w:num>
  <w:num w:numId="19">
    <w:abstractNumId w:val="23"/>
  </w:num>
  <w:num w:numId="20">
    <w:abstractNumId w:val="9"/>
  </w:num>
  <w:num w:numId="21">
    <w:abstractNumId w:val="15"/>
  </w:num>
  <w:num w:numId="22">
    <w:abstractNumId w:val="24"/>
  </w:num>
  <w:num w:numId="23">
    <w:abstractNumId w:val="8"/>
  </w:num>
  <w:num w:numId="24">
    <w:abstractNumId w:val="5"/>
  </w:num>
  <w:num w:numId="25">
    <w:abstractNumId w:val="12"/>
  </w:num>
  <w:num w:numId="26">
    <w:abstractNumId w:val="20"/>
  </w:num>
  <w:num w:numId="27">
    <w:abstractNumId w:val="6"/>
  </w:num>
  <w:num w:numId="28">
    <w:abstractNumId w:val="10"/>
  </w:num>
  <w:num w:numId="29">
    <w:abstractNumId w:val="30"/>
  </w:num>
  <w:num w:numId="30">
    <w:abstractNumId w:val="16"/>
  </w:num>
  <w:num w:numId="31">
    <w:abstractNumId w:val="7"/>
  </w:num>
  <w:num w:numId="32">
    <w:abstractNumId w:val="32"/>
  </w:num>
  <w:num w:numId="33">
    <w:abstractNumId w:val="1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8"/>
    <w:rsid w:val="0000054D"/>
    <w:rsid w:val="000015B6"/>
    <w:rsid w:val="00006321"/>
    <w:rsid w:val="00007F2C"/>
    <w:rsid w:val="00013644"/>
    <w:rsid w:val="000222B8"/>
    <w:rsid w:val="00027C5F"/>
    <w:rsid w:val="000305CA"/>
    <w:rsid w:val="00064CC8"/>
    <w:rsid w:val="0007115A"/>
    <w:rsid w:val="0007198D"/>
    <w:rsid w:val="000732E1"/>
    <w:rsid w:val="00075110"/>
    <w:rsid w:val="000834DA"/>
    <w:rsid w:val="00086795"/>
    <w:rsid w:val="00092BA4"/>
    <w:rsid w:val="000B0164"/>
    <w:rsid w:val="000B48D7"/>
    <w:rsid w:val="000B4AA8"/>
    <w:rsid w:val="000B612A"/>
    <w:rsid w:val="000B6715"/>
    <w:rsid w:val="000C1EDB"/>
    <w:rsid w:val="000C34B4"/>
    <w:rsid w:val="000D4729"/>
    <w:rsid w:val="000E1A3F"/>
    <w:rsid w:val="00103E60"/>
    <w:rsid w:val="00114EE3"/>
    <w:rsid w:val="00120F4A"/>
    <w:rsid w:val="00125C01"/>
    <w:rsid w:val="00131EAF"/>
    <w:rsid w:val="00132321"/>
    <w:rsid w:val="00134158"/>
    <w:rsid w:val="00141F4D"/>
    <w:rsid w:val="00147170"/>
    <w:rsid w:val="001801DF"/>
    <w:rsid w:val="0019059A"/>
    <w:rsid w:val="00190ED2"/>
    <w:rsid w:val="0019500E"/>
    <w:rsid w:val="00196AEB"/>
    <w:rsid w:val="001A744D"/>
    <w:rsid w:val="001B1004"/>
    <w:rsid w:val="001B2458"/>
    <w:rsid w:val="001B57F5"/>
    <w:rsid w:val="001B64F1"/>
    <w:rsid w:val="001E1900"/>
    <w:rsid w:val="001F0DDE"/>
    <w:rsid w:val="002031E8"/>
    <w:rsid w:val="0021215D"/>
    <w:rsid w:val="00213877"/>
    <w:rsid w:val="00214C55"/>
    <w:rsid w:val="00225AA6"/>
    <w:rsid w:val="0023388E"/>
    <w:rsid w:val="00243917"/>
    <w:rsid w:val="002446AF"/>
    <w:rsid w:val="00250AAF"/>
    <w:rsid w:val="00260CA8"/>
    <w:rsid w:val="00261432"/>
    <w:rsid w:val="0026288E"/>
    <w:rsid w:val="0027736C"/>
    <w:rsid w:val="00290630"/>
    <w:rsid w:val="00293ED4"/>
    <w:rsid w:val="00294703"/>
    <w:rsid w:val="002C2D7A"/>
    <w:rsid w:val="002C3C79"/>
    <w:rsid w:val="002E14D7"/>
    <w:rsid w:val="002E302B"/>
    <w:rsid w:val="002E40A3"/>
    <w:rsid w:val="002E60CC"/>
    <w:rsid w:val="002F20AF"/>
    <w:rsid w:val="002F361E"/>
    <w:rsid w:val="003137D6"/>
    <w:rsid w:val="003142C3"/>
    <w:rsid w:val="00324C58"/>
    <w:rsid w:val="00332AD9"/>
    <w:rsid w:val="00332E2B"/>
    <w:rsid w:val="00333B12"/>
    <w:rsid w:val="00337957"/>
    <w:rsid w:val="00342AAA"/>
    <w:rsid w:val="00343FF3"/>
    <w:rsid w:val="00345574"/>
    <w:rsid w:val="00352484"/>
    <w:rsid w:val="00354C85"/>
    <w:rsid w:val="003678D3"/>
    <w:rsid w:val="00371F28"/>
    <w:rsid w:val="00373901"/>
    <w:rsid w:val="00387D23"/>
    <w:rsid w:val="00392B6C"/>
    <w:rsid w:val="003A3804"/>
    <w:rsid w:val="003A67D2"/>
    <w:rsid w:val="003B2EBD"/>
    <w:rsid w:val="003B3810"/>
    <w:rsid w:val="003B5DD2"/>
    <w:rsid w:val="003C0719"/>
    <w:rsid w:val="003C1966"/>
    <w:rsid w:val="003C3861"/>
    <w:rsid w:val="003D0F30"/>
    <w:rsid w:val="003D4DD4"/>
    <w:rsid w:val="003D5E85"/>
    <w:rsid w:val="003E3E4F"/>
    <w:rsid w:val="003E5F72"/>
    <w:rsid w:val="003F0577"/>
    <w:rsid w:val="00407A47"/>
    <w:rsid w:val="00412137"/>
    <w:rsid w:val="00426663"/>
    <w:rsid w:val="004266DA"/>
    <w:rsid w:val="004301C4"/>
    <w:rsid w:val="00430DAB"/>
    <w:rsid w:val="00433995"/>
    <w:rsid w:val="004361DD"/>
    <w:rsid w:val="0045302E"/>
    <w:rsid w:val="004653EE"/>
    <w:rsid w:val="004769D6"/>
    <w:rsid w:val="0048598D"/>
    <w:rsid w:val="0049035C"/>
    <w:rsid w:val="0049510A"/>
    <w:rsid w:val="0049785A"/>
    <w:rsid w:val="004A0E9F"/>
    <w:rsid w:val="004A583A"/>
    <w:rsid w:val="004C5EFD"/>
    <w:rsid w:val="004E0AE8"/>
    <w:rsid w:val="004E508B"/>
    <w:rsid w:val="004E680D"/>
    <w:rsid w:val="004E6CFD"/>
    <w:rsid w:val="004E7B5D"/>
    <w:rsid w:val="004F37F4"/>
    <w:rsid w:val="00513B48"/>
    <w:rsid w:val="0052377F"/>
    <w:rsid w:val="00525700"/>
    <w:rsid w:val="00526C90"/>
    <w:rsid w:val="005325B8"/>
    <w:rsid w:val="00535406"/>
    <w:rsid w:val="005363AF"/>
    <w:rsid w:val="00540DD5"/>
    <w:rsid w:val="005419E3"/>
    <w:rsid w:val="00543CD9"/>
    <w:rsid w:val="00547F5E"/>
    <w:rsid w:val="005517E9"/>
    <w:rsid w:val="00552BA1"/>
    <w:rsid w:val="005533F4"/>
    <w:rsid w:val="00562E13"/>
    <w:rsid w:val="00581F19"/>
    <w:rsid w:val="00586104"/>
    <w:rsid w:val="005907B7"/>
    <w:rsid w:val="00595AAE"/>
    <w:rsid w:val="005A2F16"/>
    <w:rsid w:val="005C1D34"/>
    <w:rsid w:val="005C5B9A"/>
    <w:rsid w:val="005D2D5D"/>
    <w:rsid w:val="005D62C8"/>
    <w:rsid w:val="005E417D"/>
    <w:rsid w:val="006034CC"/>
    <w:rsid w:val="00606252"/>
    <w:rsid w:val="00623BD8"/>
    <w:rsid w:val="0063671A"/>
    <w:rsid w:val="00641917"/>
    <w:rsid w:val="00647E46"/>
    <w:rsid w:val="00653956"/>
    <w:rsid w:val="00653A63"/>
    <w:rsid w:val="00654D67"/>
    <w:rsid w:val="006556CA"/>
    <w:rsid w:val="006706DD"/>
    <w:rsid w:val="00672366"/>
    <w:rsid w:val="00672DD3"/>
    <w:rsid w:val="00675682"/>
    <w:rsid w:val="00682ADC"/>
    <w:rsid w:val="0068514A"/>
    <w:rsid w:val="00690393"/>
    <w:rsid w:val="00697CB4"/>
    <w:rsid w:val="006A20EB"/>
    <w:rsid w:val="006A405D"/>
    <w:rsid w:val="006A5630"/>
    <w:rsid w:val="006B224C"/>
    <w:rsid w:val="006B52CF"/>
    <w:rsid w:val="006B7FC1"/>
    <w:rsid w:val="006C729B"/>
    <w:rsid w:val="006D49DD"/>
    <w:rsid w:val="006D60AB"/>
    <w:rsid w:val="006D7B1D"/>
    <w:rsid w:val="006E3088"/>
    <w:rsid w:val="006E65F8"/>
    <w:rsid w:val="006F4029"/>
    <w:rsid w:val="006F4719"/>
    <w:rsid w:val="006F4F67"/>
    <w:rsid w:val="006F613F"/>
    <w:rsid w:val="00700DEC"/>
    <w:rsid w:val="00705E4F"/>
    <w:rsid w:val="007159CF"/>
    <w:rsid w:val="00727C9D"/>
    <w:rsid w:val="007461B1"/>
    <w:rsid w:val="00753C83"/>
    <w:rsid w:val="007570B7"/>
    <w:rsid w:val="007845B5"/>
    <w:rsid w:val="0078745D"/>
    <w:rsid w:val="00793620"/>
    <w:rsid w:val="00796307"/>
    <w:rsid w:val="007975F2"/>
    <w:rsid w:val="007A1B15"/>
    <w:rsid w:val="007B3A88"/>
    <w:rsid w:val="007C0C7D"/>
    <w:rsid w:val="007C7A48"/>
    <w:rsid w:val="007D3688"/>
    <w:rsid w:val="007D6EFB"/>
    <w:rsid w:val="007E45A5"/>
    <w:rsid w:val="007E5F33"/>
    <w:rsid w:val="007E6104"/>
    <w:rsid w:val="007F1DCC"/>
    <w:rsid w:val="007F3128"/>
    <w:rsid w:val="00810BBC"/>
    <w:rsid w:val="008166E0"/>
    <w:rsid w:val="00823FE8"/>
    <w:rsid w:val="00871A69"/>
    <w:rsid w:val="0088143E"/>
    <w:rsid w:val="0089215E"/>
    <w:rsid w:val="00895E51"/>
    <w:rsid w:val="00896B08"/>
    <w:rsid w:val="008A3EDE"/>
    <w:rsid w:val="008A661A"/>
    <w:rsid w:val="008B1A7C"/>
    <w:rsid w:val="008B6866"/>
    <w:rsid w:val="008C4909"/>
    <w:rsid w:val="008D6FF9"/>
    <w:rsid w:val="008E0668"/>
    <w:rsid w:val="008E4427"/>
    <w:rsid w:val="008E4DC0"/>
    <w:rsid w:val="008F11DA"/>
    <w:rsid w:val="00905EDF"/>
    <w:rsid w:val="00905F90"/>
    <w:rsid w:val="00912863"/>
    <w:rsid w:val="00913CDA"/>
    <w:rsid w:val="00916FDB"/>
    <w:rsid w:val="009252DC"/>
    <w:rsid w:val="0092761F"/>
    <w:rsid w:val="00927A18"/>
    <w:rsid w:val="00927F9B"/>
    <w:rsid w:val="00932C84"/>
    <w:rsid w:val="00954537"/>
    <w:rsid w:val="0095521A"/>
    <w:rsid w:val="0095583F"/>
    <w:rsid w:val="0096106E"/>
    <w:rsid w:val="00963919"/>
    <w:rsid w:val="0096669A"/>
    <w:rsid w:val="00970F60"/>
    <w:rsid w:val="00971A15"/>
    <w:rsid w:val="00973048"/>
    <w:rsid w:val="00991E60"/>
    <w:rsid w:val="00991E8A"/>
    <w:rsid w:val="00992F85"/>
    <w:rsid w:val="00996B00"/>
    <w:rsid w:val="009A6ADD"/>
    <w:rsid w:val="009B392F"/>
    <w:rsid w:val="009B60AE"/>
    <w:rsid w:val="009B630E"/>
    <w:rsid w:val="009C236D"/>
    <w:rsid w:val="009C33EE"/>
    <w:rsid w:val="009C3BA8"/>
    <w:rsid w:val="009D4682"/>
    <w:rsid w:val="009D767A"/>
    <w:rsid w:val="009E009F"/>
    <w:rsid w:val="009E44D2"/>
    <w:rsid w:val="00A02947"/>
    <w:rsid w:val="00A140B8"/>
    <w:rsid w:val="00A309AF"/>
    <w:rsid w:val="00A34EF6"/>
    <w:rsid w:val="00A36774"/>
    <w:rsid w:val="00A41AF8"/>
    <w:rsid w:val="00A51138"/>
    <w:rsid w:val="00A53270"/>
    <w:rsid w:val="00A57227"/>
    <w:rsid w:val="00A64EC5"/>
    <w:rsid w:val="00A64EED"/>
    <w:rsid w:val="00A65E96"/>
    <w:rsid w:val="00A663AD"/>
    <w:rsid w:val="00A67772"/>
    <w:rsid w:val="00A70A65"/>
    <w:rsid w:val="00A77114"/>
    <w:rsid w:val="00AA6399"/>
    <w:rsid w:val="00AC72A6"/>
    <w:rsid w:val="00AD215E"/>
    <w:rsid w:val="00AE0377"/>
    <w:rsid w:val="00AE13F4"/>
    <w:rsid w:val="00AF3D4F"/>
    <w:rsid w:val="00AF5916"/>
    <w:rsid w:val="00AF6DB6"/>
    <w:rsid w:val="00B12786"/>
    <w:rsid w:val="00B264A3"/>
    <w:rsid w:val="00B265EA"/>
    <w:rsid w:val="00B336B4"/>
    <w:rsid w:val="00B47FBD"/>
    <w:rsid w:val="00B53E78"/>
    <w:rsid w:val="00B55627"/>
    <w:rsid w:val="00B61E84"/>
    <w:rsid w:val="00B62992"/>
    <w:rsid w:val="00B644A4"/>
    <w:rsid w:val="00B6697F"/>
    <w:rsid w:val="00B83218"/>
    <w:rsid w:val="00B83C93"/>
    <w:rsid w:val="00B87DB6"/>
    <w:rsid w:val="00B936A7"/>
    <w:rsid w:val="00B9674F"/>
    <w:rsid w:val="00B96C18"/>
    <w:rsid w:val="00BB0249"/>
    <w:rsid w:val="00BB494D"/>
    <w:rsid w:val="00BB6FED"/>
    <w:rsid w:val="00BB723C"/>
    <w:rsid w:val="00BC1EFC"/>
    <w:rsid w:val="00BC78AC"/>
    <w:rsid w:val="00BD76C1"/>
    <w:rsid w:val="00BE03D2"/>
    <w:rsid w:val="00BE1F93"/>
    <w:rsid w:val="00BE42AF"/>
    <w:rsid w:val="00BE6531"/>
    <w:rsid w:val="00BF7FBE"/>
    <w:rsid w:val="00C05409"/>
    <w:rsid w:val="00C06C5B"/>
    <w:rsid w:val="00C1446E"/>
    <w:rsid w:val="00C166F9"/>
    <w:rsid w:val="00C2161F"/>
    <w:rsid w:val="00C22108"/>
    <w:rsid w:val="00C36EF3"/>
    <w:rsid w:val="00C4092E"/>
    <w:rsid w:val="00C41336"/>
    <w:rsid w:val="00C4522F"/>
    <w:rsid w:val="00C51996"/>
    <w:rsid w:val="00C51B63"/>
    <w:rsid w:val="00C61139"/>
    <w:rsid w:val="00C6264C"/>
    <w:rsid w:val="00C64E2F"/>
    <w:rsid w:val="00C71F15"/>
    <w:rsid w:val="00C8523A"/>
    <w:rsid w:val="00C872A5"/>
    <w:rsid w:val="00C87ADB"/>
    <w:rsid w:val="00CA2B3B"/>
    <w:rsid w:val="00CA5B96"/>
    <w:rsid w:val="00CA7637"/>
    <w:rsid w:val="00CB56FF"/>
    <w:rsid w:val="00CB6109"/>
    <w:rsid w:val="00CD6331"/>
    <w:rsid w:val="00D04DA2"/>
    <w:rsid w:val="00D0510F"/>
    <w:rsid w:val="00D15434"/>
    <w:rsid w:val="00D2153C"/>
    <w:rsid w:val="00D24AB9"/>
    <w:rsid w:val="00D41D44"/>
    <w:rsid w:val="00D60616"/>
    <w:rsid w:val="00D7050D"/>
    <w:rsid w:val="00D7290F"/>
    <w:rsid w:val="00D83F54"/>
    <w:rsid w:val="00D84800"/>
    <w:rsid w:val="00D91941"/>
    <w:rsid w:val="00D95E72"/>
    <w:rsid w:val="00D96EB7"/>
    <w:rsid w:val="00DA6770"/>
    <w:rsid w:val="00DB3547"/>
    <w:rsid w:val="00DC0E47"/>
    <w:rsid w:val="00DC4E22"/>
    <w:rsid w:val="00DC5B90"/>
    <w:rsid w:val="00DC7A2A"/>
    <w:rsid w:val="00DE5E72"/>
    <w:rsid w:val="00DF4D00"/>
    <w:rsid w:val="00DF750A"/>
    <w:rsid w:val="00E0243D"/>
    <w:rsid w:val="00E11DD3"/>
    <w:rsid w:val="00E128B6"/>
    <w:rsid w:val="00E13EDA"/>
    <w:rsid w:val="00E1406D"/>
    <w:rsid w:val="00E14858"/>
    <w:rsid w:val="00E43589"/>
    <w:rsid w:val="00E53600"/>
    <w:rsid w:val="00E53BA5"/>
    <w:rsid w:val="00E607A4"/>
    <w:rsid w:val="00E726D5"/>
    <w:rsid w:val="00E91B0C"/>
    <w:rsid w:val="00E975DC"/>
    <w:rsid w:val="00EB4AF4"/>
    <w:rsid w:val="00ED682C"/>
    <w:rsid w:val="00EF6A2A"/>
    <w:rsid w:val="00F30277"/>
    <w:rsid w:val="00F41C49"/>
    <w:rsid w:val="00F46781"/>
    <w:rsid w:val="00F4696E"/>
    <w:rsid w:val="00F64C0F"/>
    <w:rsid w:val="00F90255"/>
    <w:rsid w:val="00F971A3"/>
    <w:rsid w:val="00FA25B2"/>
    <w:rsid w:val="00FA7B61"/>
    <w:rsid w:val="00FB486C"/>
    <w:rsid w:val="00FB4DDD"/>
    <w:rsid w:val="00FB54A7"/>
    <w:rsid w:val="00FB6BEB"/>
    <w:rsid w:val="00FB6F84"/>
    <w:rsid w:val="00FD27B4"/>
    <w:rsid w:val="00FE3A0D"/>
    <w:rsid w:val="00FE3A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2D524"/>
  <w15:docId w15:val="{B9865FBA-6DEF-4F6D-9E64-B4A56FEE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8"/>
    <w:pPr>
      <w:spacing w:after="0" w:line="240"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B4AA8"/>
    <w:pPr>
      <w:ind w:left="720"/>
      <w:contextualSpacing/>
    </w:pPr>
  </w:style>
  <w:style w:type="paragraph" w:styleId="Encabezado">
    <w:name w:val="header"/>
    <w:basedOn w:val="Normal"/>
    <w:link w:val="EncabezadoCar"/>
    <w:unhideWhenUsed/>
    <w:rsid w:val="000B4AA8"/>
    <w:pPr>
      <w:tabs>
        <w:tab w:val="center" w:pos="4419"/>
        <w:tab w:val="right" w:pos="8838"/>
      </w:tabs>
    </w:pPr>
  </w:style>
  <w:style w:type="character" w:customStyle="1" w:styleId="EncabezadoCar">
    <w:name w:val="Encabezado Car"/>
    <w:basedOn w:val="Fuentedeprrafopredeter"/>
    <w:link w:val="Encabezado"/>
    <w:rsid w:val="000B4AA8"/>
    <w:rPr>
      <w:lang w:val="es-SV"/>
    </w:rPr>
  </w:style>
  <w:style w:type="paragraph" w:styleId="Piedepgina">
    <w:name w:val="footer"/>
    <w:basedOn w:val="Normal"/>
    <w:link w:val="PiedepginaCar"/>
    <w:uiPriority w:val="99"/>
    <w:unhideWhenUsed/>
    <w:rsid w:val="000B4AA8"/>
    <w:pPr>
      <w:tabs>
        <w:tab w:val="center" w:pos="4419"/>
        <w:tab w:val="right" w:pos="8838"/>
      </w:tabs>
    </w:pPr>
  </w:style>
  <w:style w:type="character" w:customStyle="1" w:styleId="PiedepginaCar">
    <w:name w:val="Pie de página Car"/>
    <w:basedOn w:val="Fuentedeprrafopredeter"/>
    <w:link w:val="Piedepgina"/>
    <w:uiPriority w:val="99"/>
    <w:rsid w:val="000B4AA8"/>
    <w:rPr>
      <w:lang w:val="es-SV"/>
    </w:rPr>
  </w:style>
  <w:style w:type="table" w:styleId="Tablaconcuadrcula">
    <w:name w:val="Table Grid"/>
    <w:basedOn w:val="Tablanormal"/>
    <w:uiPriority w:val="59"/>
    <w:rsid w:val="000B4AA8"/>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0B4AA8"/>
    <w:pPr>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0B4AA8"/>
    <w:rPr>
      <w:rFonts w:ascii="Arial" w:eastAsia="Times New Roman" w:hAnsi="Arial" w:cs="Times New Roman"/>
      <w:b/>
      <w:szCs w:val="20"/>
      <w:lang w:val="es-ES" w:eastAsia="es-ES"/>
    </w:rPr>
  </w:style>
  <w:style w:type="paragraph" w:styleId="Textodeglobo">
    <w:name w:val="Balloon Text"/>
    <w:basedOn w:val="Normal"/>
    <w:link w:val="TextodegloboCar"/>
    <w:uiPriority w:val="99"/>
    <w:semiHidden/>
    <w:unhideWhenUsed/>
    <w:rsid w:val="000B4A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AA8"/>
    <w:rPr>
      <w:rFonts w:ascii="Tahoma" w:hAnsi="Tahoma" w:cs="Tahoma"/>
      <w:sz w:val="16"/>
      <w:szCs w:val="16"/>
      <w:lang w:val="es-SV"/>
    </w:rPr>
  </w:style>
  <w:style w:type="character" w:styleId="Refdecomentario">
    <w:name w:val="annotation reference"/>
    <w:basedOn w:val="Fuentedeprrafopredeter"/>
    <w:uiPriority w:val="99"/>
    <w:semiHidden/>
    <w:unhideWhenUsed/>
    <w:rsid w:val="0027736C"/>
    <w:rPr>
      <w:sz w:val="16"/>
      <w:szCs w:val="16"/>
    </w:rPr>
  </w:style>
  <w:style w:type="paragraph" w:styleId="Textocomentario">
    <w:name w:val="annotation text"/>
    <w:basedOn w:val="Normal"/>
    <w:link w:val="TextocomentarioCar"/>
    <w:uiPriority w:val="99"/>
    <w:semiHidden/>
    <w:unhideWhenUsed/>
    <w:rsid w:val="0027736C"/>
    <w:rPr>
      <w:sz w:val="20"/>
      <w:szCs w:val="20"/>
    </w:rPr>
  </w:style>
  <w:style w:type="character" w:customStyle="1" w:styleId="TextocomentarioCar">
    <w:name w:val="Texto comentario Car"/>
    <w:basedOn w:val="Fuentedeprrafopredeter"/>
    <w:link w:val="Textocomentario"/>
    <w:uiPriority w:val="99"/>
    <w:semiHidden/>
    <w:rsid w:val="0027736C"/>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27736C"/>
    <w:rPr>
      <w:b/>
      <w:bCs/>
    </w:rPr>
  </w:style>
  <w:style w:type="character" w:customStyle="1" w:styleId="AsuntodelcomentarioCar">
    <w:name w:val="Asunto del comentario Car"/>
    <w:basedOn w:val="TextocomentarioCar"/>
    <w:link w:val="Asuntodelcomentario"/>
    <w:uiPriority w:val="99"/>
    <w:semiHidden/>
    <w:rsid w:val="0027736C"/>
    <w:rPr>
      <w:b/>
      <w:bCs/>
      <w:sz w:val="20"/>
      <w:szCs w:val="20"/>
      <w:lang w:val="es-SV"/>
    </w:rPr>
  </w:style>
  <w:style w:type="character" w:styleId="Hipervnculo">
    <w:name w:val="Hyperlink"/>
    <w:basedOn w:val="Fuentedeprrafopredeter"/>
    <w:uiPriority w:val="99"/>
    <w:unhideWhenUsed/>
    <w:rsid w:val="00526C90"/>
    <w:rPr>
      <w:color w:val="0000FF" w:themeColor="hyperlink"/>
      <w:u w:val="single"/>
    </w:rPr>
  </w:style>
  <w:style w:type="character" w:customStyle="1" w:styleId="PrrafodelistaCar">
    <w:name w:val="Párrafo de lista Car"/>
    <w:basedOn w:val="Fuentedeprrafopredeter"/>
    <w:link w:val="Prrafodelista"/>
    <w:uiPriority w:val="34"/>
    <w:rsid w:val="003C3861"/>
    <w:rPr>
      <w:lang w:val="es-SV"/>
    </w:rPr>
  </w:style>
  <w:style w:type="paragraph" w:styleId="Textoindependiente">
    <w:name w:val="Body Text"/>
    <w:basedOn w:val="Normal"/>
    <w:link w:val="TextoindependienteCar"/>
    <w:semiHidden/>
    <w:unhideWhenUsed/>
    <w:rsid w:val="00FE3A2D"/>
    <w:pPr>
      <w:numPr>
        <w:ilvl w:val="12"/>
      </w:numPr>
      <w:tabs>
        <w:tab w:val="left" w:pos="720"/>
      </w:tabs>
    </w:pPr>
    <w:rPr>
      <w:rFonts w:ascii="Arial Narrow" w:eastAsia="Times New Roman" w:hAnsi="Arial Narrow"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FE3A2D"/>
    <w:rPr>
      <w:rFonts w:ascii="Arial Narrow" w:eastAsia="Times New Roman" w:hAnsi="Arial Narrow" w:cs="Times New Roman"/>
      <w:sz w:val="24"/>
      <w:szCs w:val="20"/>
      <w:lang w:val="es-ES_tradnl" w:eastAsia="es-ES"/>
    </w:rPr>
  </w:style>
  <w:style w:type="paragraph" w:customStyle="1" w:styleId="Remite">
    <w:name w:val="Remite"/>
    <w:basedOn w:val="Normal"/>
    <w:rsid w:val="00A57227"/>
    <w:pPr>
      <w:keepLines/>
      <w:framePr w:w="4320" w:h="965" w:hSpace="187" w:vSpace="187" w:wrap="notBeside" w:vAnchor="page" w:hAnchor="margin" w:xAlign="right" w:y="966" w:anchorLock="1"/>
      <w:tabs>
        <w:tab w:val="left" w:pos="2160"/>
      </w:tabs>
      <w:spacing w:line="160" w:lineRule="atLeast"/>
    </w:pPr>
    <w:rPr>
      <w:rFonts w:ascii="Arial" w:eastAsia="Times New Roman" w:hAnsi="Arial" w:cs="Times New Roman"/>
      <w:sz w:val="1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umen de Sesión" ma:contentTypeID="0x0101001E249FC2EA45C84BBB0CCA5CF71F1C57" ma:contentTypeVersion="13" ma:contentTypeDescription="Crear nuevo documento de Resumen de Sesión de Consejo Directivo" ma:contentTypeScope="" ma:versionID="dc81998a31fbf6654c9265e692b22ce6">
  <xsd:schema xmlns:xsd="http://www.w3.org/2001/XMLSchema" xmlns:xs="http://www.w3.org/2001/XMLSchema" xmlns:p="http://schemas.microsoft.com/office/2006/metadata/properties" targetNamespace="http://schemas.microsoft.com/office/2006/metadata/properties" ma:root="true" ma:fieldsID="2f987482fc7a7fd70f98772b36aae8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F448E-9F24-4843-AB53-FE2185C91C58}">
  <ds:schemaRefs>
    <ds:schemaRef ds:uri="http://schemas.microsoft.com/sharepoint/v3/contenttype/forms"/>
  </ds:schemaRefs>
</ds:datastoreItem>
</file>

<file path=customXml/itemProps2.xml><?xml version="1.0" encoding="utf-8"?>
<ds:datastoreItem xmlns:ds="http://schemas.openxmlformats.org/officeDocument/2006/customXml" ds:itemID="{90B2AF12-9600-4F15-9EB1-FE9E24BFA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C957A3-0F41-4826-BBD2-2781A7EF3C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792A9-C0F2-4ACA-9B25-65D98729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VI</vt:lpstr>
    </vt:vector>
  </TitlesOfParts>
  <Company>bcr</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creator>dfwendy</dc:creator>
  <cp:lastModifiedBy>Cecilia Guadalupe Hernández</cp:lastModifiedBy>
  <cp:revision>5</cp:revision>
  <cp:lastPrinted>2017-05-25T15:55:00Z</cp:lastPrinted>
  <dcterms:created xsi:type="dcterms:W3CDTF">2020-10-13T17:19:00Z</dcterms:created>
  <dcterms:modified xsi:type="dcterms:W3CDTF">2020-10-14T18:06:00Z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0x0101001E249FC2EA45C84BBB0CCA5CF71F1C57</vt:lpwstr>
  </property>
</Properties>
</file>