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8" w:rsidRPr="00E11DD3" w:rsidRDefault="000B4AA8" w:rsidP="00C4092E">
      <w:pPr>
        <w:rPr>
          <w:rFonts w:ascii="Arial Narrow" w:hAnsi="Arial Narrow" w:cs="Tahoma"/>
          <w:b/>
          <w:sz w:val="24"/>
          <w:szCs w:val="24"/>
        </w:rPr>
      </w:pPr>
      <w:r w:rsidRPr="00E11DD3">
        <w:rPr>
          <w:rFonts w:ascii="Arial Narrow" w:hAnsi="Arial Narrow" w:cs="Tahoma"/>
          <w:b/>
          <w:sz w:val="24"/>
          <w:szCs w:val="24"/>
        </w:rPr>
        <w:t>EL CONSEJO DIRECTIVO DEL BANCO CENTRAL DE RESERVA DE EL SALVADOR,</w:t>
      </w:r>
    </w:p>
    <w:p w:rsidR="00C313EB" w:rsidRDefault="00C313EB" w:rsidP="00C4092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B4AA8" w:rsidRPr="00E11DD3" w:rsidRDefault="000B4AA8" w:rsidP="00C4092E">
      <w:pPr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E11DD3">
        <w:rPr>
          <w:rFonts w:ascii="Arial Narrow" w:hAnsi="Arial Narrow" w:cs="Arial"/>
          <w:b/>
          <w:sz w:val="24"/>
          <w:szCs w:val="24"/>
        </w:rPr>
        <w:t>ACUERDA</w:t>
      </w:r>
      <w:r w:rsidR="00333B12" w:rsidRPr="00E11DD3">
        <w:rPr>
          <w:rFonts w:ascii="Arial Narrow" w:hAnsi="Arial Narrow" w:cs="Arial"/>
          <w:sz w:val="24"/>
          <w:szCs w:val="24"/>
        </w:rPr>
        <w:t>,</w:t>
      </w:r>
      <w:r w:rsidRPr="00E11DD3">
        <w:rPr>
          <w:rFonts w:ascii="Arial Narrow" w:hAnsi="Arial Narrow" w:cs="Arial"/>
          <w:sz w:val="24"/>
          <w:szCs w:val="24"/>
        </w:rPr>
        <w:t xml:space="preserve"> emitir l</w:t>
      </w:r>
      <w:r w:rsidR="001D5A19">
        <w:rPr>
          <w:rFonts w:ascii="Arial Narrow" w:hAnsi="Arial Narrow" w:cs="Arial"/>
          <w:sz w:val="24"/>
          <w:szCs w:val="24"/>
        </w:rPr>
        <w:t>o</w:t>
      </w:r>
      <w:r w:rsidRPr="00E11DD3">
        <w:rPr>
          <w:rFonts w:ascii="Arial Narrow" w:hAnsi="Arial Narrow" w:cs="Arial"/>
          <w:sz w:val="24"/>
          <w:szCs w:val="24"/>
        </w:rPr>
        <w:t xml:space="preserve">s siguientes: </w:t>
      </w:r>
    </w:p>
    <w:p w:rsidR="000B4AA8" w:rsidRPr="00E11DD3" w:rsidRDefault="000B4AA8" w:rsidP="00C4092E">
      <w:pPr>
        <w:jc w:val="both"/>
        <w:rPr>
          <w:rFonts w:ascii="Arial Narrow" w:hAnsi="Arial Narrow" w:cs="Arial"/>
          <w:sz w:val="24"/>
          <w:szCs w:val="24"/>
        </w:rPr>
      </w:pPr>
    </w:p>
    <w:p w:rsidR="001D5A19" w:rsidRPr="008E4503" w:rsidRDefault="001D5A19" w:rsidP="001D5A19">
      <w:pPr>
        <w:tabs>
          <w:tab w:val="left" w:pos="0"/>
          <w:tab w:val="left" w:pos="142"/>
          <w:tab w:val="left" w:pos="709"/>
        </w:tabs>
        <w:jc w:val="center"/>
        <w:rPr>
          <w:rFonts w:ascii="Arial Narrow" w:hAnsi="Arial Narrow"/>
          <w:b/>
          <w:sz w:val="24"/>
        </w:rPr>
      </w:pPr>
      <w:r w:rsidRPr="008E4503">
        <w:rPr>
          <w:rFonts w:ascii="Arial Narrow" w:hAnsi="Arial Narrow"/>
          <w:b/>
          <w:sz w:val="24"/>
        </w:rPr>
        <w:t xml:space="preserve">LINEAMIENTOS MÍNIMOS PARA OPERACIONES CON </w:t>
      </w:r>
      <w:r>
        <w:rPr>
          <w:rFonts w:ascii="Arial Narrow" w:hAnsi="Arial Narrow"/>
          <w:b/>
          <w:sz w:val="24"/>
        </w:rPr>
        <w:t xml:space="preserve">EL </w:t>
      </w:r>
      <w:r w:rsidRPr="008E4503">
        <w:rPr>
          <w:rFonts w:ascii="Arial Narrow" w:hAnsi="Arial Narrow"/>
          <w:b/>
          <w:sz w:val="24"/>
        </w:rPr>
        <w:t xml:space="preserve">INSTRUMENTO FINANCIERO DERIVADO </w:t>
      </w:r>
      <w:r>
        <w:rPr>
          <w:rFonts w:ascii="Arial Narrow" w:hAnsi="Arial Narrow"/>
          <w:b/>
          <w:sz w:val="24"/>
        </w:rPr>
        <w:t>“</w:t>
      </w:r>
      <w:r w:rsidRPr="008E4503">
        <w:rPr>
          <w:rFonts w:ascii="Arial Narrow" w:hAnsi="Arial Narrow"/>
          <w:b/>
          <w:sz w:val="24"/>
        </w:rPr>
        <w:t>FORWARD DE MONEDA” QUE DEBERÁN CUMPLIR L</w:t>
      </w:r>
      <w:r>
        <w:rPr>
          <w:rFonts w:ascii="Arial Narrow" w:hAnsi="Arial Narrow"/>
          <w:b/>
          <w:sz w:val="24"/>
        </w:rPr>
        <w:t xml:space="preserve">OS BANCOS </w:t>
      </w:r>
      <w:r w:rsidRPr="008E4503">
        <w:rPr>
          <w:rFonts w:ascii="Arial Narrow" w:hAnsi="Arial Narrow"/>
          <w:b/>
          <w:sz w:val="24"/>
        </w:rPr>
        <w:t>PARA OFERTARLOS EN EL MERCADO LOCAL.</w:t>
      </w:r>
    </w:p>
    <w:p w:rsidR="000B4AA8" w:rsidRPr="00E11DD3" w:rsidRDefault="000B4AA8" w:rsidP="00C4092E">
      <w:pPr>
        <w:jc w:val="center"/>
        <w:rPr>
          <w:rFonts w:ascii="Arial Narrow" w:hAnsi="Arial Narrow" w:cs="Arial"/>
          <w:sz w:val="24"/>
          <w:szCs w:val="24"/>
        </w:rPr>
      </w:pPr>
    </w:p>
    <w:p w:rsidR="00655E1B" w:rsidRDefault="00655E1B" w:rsidP="002F20A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D5A19" w:rsidRPr="008E4503" w:rsidRDefault="001D5A19" w:rsidP="001D5A19">
      <w:pPr>
        <w:pStyle w:val="Prrafodelista"/>
        <w:numPr>
          <w:ilvl w:val="0"/>
          <w:numId w:val="18"/>
        </w:numPr>
        <w:tabs>
          <w:tab w:val="left" w:pos="0"/>
        </w:tabs>
        <w:ind w:left="567" w:hanging="567"/>
        <w:jc w:val="both"/>
        <w:rPr>
          <w:rFonts w:ascii="Arial Narrow" w:hAnsi="Arial Narrow"/>
        </w:rPr>
      </w:pPr>
      <w:r w:rsidRPr="00131D0A">
        <w:rPr>
          <w:rFonts w:ascii="Arial Narrow" w:hAnsi="Arial Narrow"/>
        </w:rPr>
        <w:t>Los presentes Lineamientos serán aplicables a las entidades reguladas por la Ley de Bancos que oferten a sus clientes</w:t>
      </w:r>
      <w:r>
        <w:rPr>
          <w:rFonts w:ascii="Arial Narrow" w:hAnsi="Arial Narrow"/>
        </w:rPr>
        <w:t xml:space="preserve"> con objeto de cobertura,</w:t>
      </w:r>
      <w:r w:rsidRPr="00131D0A">
        <w:rPr>
          <w:rFonts w:ascii="Arial Narrow" w:hAnsi="Arial Narrow"/>
        </w:rPr>
        <w:t xml:space="preserve"> el Forward de Moneda</w:t>
      </w:r>
      <w:r>
        <w:rPr>
          <w:rFonts w:ascii="Arial Narrow" w:hAnsi="Arial Narrow"/>
        </w:rPr>
        <w:t>,</w:t>
      </w:r>
      <w:r w:rsidRPr="00131D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entendiéndose que dicho instrumento financiero derivado tiene el objeto de cubrir variaciones del tipo de cambio del US Dólar de los Estados Unidos de América respecto a otras monedas</w:t>
      </w:r>
      <w:r w:rsidRPr="00131D0A">
        <w:rPr>
          <w:rFonts w:ascii="Arial Narrow" w:hAnsi="Arial Narrow"/>
        </w:rPr>
        <w:t>.</w:t>
      </w:r>
    </w:p>
    <w:p w:rsidR="001D5A19" w:rsidRPr="008E4503" w:rsidRDefault="001D5A19" w:rsidP="001D5A19">
      <w:pPr>
        <w:tabs>
          <w:tab w:val="left" w:pos="142"/>
        </w:tabs>
        <w:ind w:left="851" w:hanging="709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D5A19" w:rsidRPr="008E4503" w:rsidTr="005E1360">
        <w:tc>
          <w:tcPr>
            <w:tcW w:w="9396" w:type="dxa"/>
          </w:tcPr>
          <w:p w:rsidR="001D5A19" w:rsidRDefault="001D5A19" w:rsidP="001D5A19">
            <w:pPr>
              <w:pStyle w:val="Prrafodelista"/>
              <w:numPr>
                <w:ilvl w:val="0"/>
                <w:numId w:val="18"/>
              </w:numPr>
              <w:tabs>
                <w:tab w:val="left" w:pos="0"/>
              </w:tabs>
              <w:ind w:left="567" w:hanging="567"/>
              <w:jc w:val="both"/>
              <w:rPr>
                <w:rFonts w:ascii="Arial Narrow" w:hAnsi="Arial Narrow"/>
              </w:rPr>
            </w:pPr>
            <w:r w:rsidRPr="00854360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o</w:t>
            </w:r>
            <w:r w:rsidRPr="00854360">
              <w:rPr>
                <w:rFonts w:ascii="Arial Narrow" w:hAnsi="Arial Narrow"/>
              </w:rPr>
              <w:t xml:space="preserve">s </w:t>
            </w:r>
            <w:r>
              <w:rPr>
                <w:rFonts w:ascii="Arial Narrow" w:hAnsi="Arial Narrow"/>
              </w:rPr>
              <w:t>banco</w:t>
            </w:r>
            <w:r w:rsidRPr="0085436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Pr="00854360">
              <w:rPr>
                <w:rFonts w:ascii="Arial Narrow" w:hAnsi="Arial Narrow"/>
              </w:rPr>
              <w:t>que ofrezcan a sus clientes Forward de Moneda, solicitarán y requerirán previamente la autorización del Banco Central de Reserva de El Salvador</w:t>
            </w:r>
            <w:r>
              <w:rPr>
                <w:rFonts w:ascii="Arial Narrow" w:hAnsi="Arial Narrow"/>
              </w:rPr>
              <w:t xml:space="preserve">. </w:t>
            </w:r>
          </w:p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1134"/>
              <w:jc w:val="both"/>
              <w:rPr>
                <w:rFonts w:ascii="Arial Narrow" w:hAnsi="Arial Narrow"/>
              </w:rPr>
            </w:pPr>
          </w:p>
        </w:tc>
      </w:tr>
    </w:tbl>
    <w:p w:rsidR="001D5A19" w:rsidRPr="008E4503" w:rsidRDefault="001D5A19" w:rsidP="001D5A19">
      <w:pPr>
        <w:pStyle w:val="Prrafodelista"/>
        <w:numPr>
          <w:ilvl w:val="0"/>
          <w:numId w:val="18"/>
        </w:numPr>
        <w:tabs>
          <w:tab w:val="left" w:pos="0"/>
        </w:tabs>
        <w:ind w:left="567" w:hanging="567"/>
        <w:jc w:val="both"/>
        <w:rPr>
          <w:rFonts w:ascii="Arial Narrow" w:hAnsi="Arial Narrow"/>
        </w:rPr>
      </w:pPr>
      <w:r w:rsidRPr="00854360">
        <w:rPr>
          <w:rFonts w:ascii="Arial Narrow" w:hAnsi="Arial Narrow"/>
        </w:rPr>
        <w:t xml:space="preserve">La Junta Directiva del </w:t>
      </w:r>
      <w:r>
        <w:rPr>
          <w:rFonts w:ascii="Arial Narrow" w:hAnsi="Arial Narrow"/>
        </w:rPr>
        <w:t>banco</w:t>
      </w:r>
      <w:r w:rsidRPr="00854360">
        <w:rPr>
          <w:rFonts w:ascii="Arial Narrow" w:hAnsi="Arial Narrow"/>
        </w:rPr>
        <w:t xml:space="preserve"> deberá contemplar en sus políticas y procedimientos para el seguimiento y control de los riesgos, los relacionados con el Forward de Moneda</w:t>
      </w:r>
      <w:r w:rsidRPr="008E4503">
        <w:rPr>
          <w:rFonts w:ascii="Arial Narrow" w:hAnsi="Arial Narrow"/>
        </w:rPr>
        <w:t>.</w:t>
      </w:r>
      <w:r w:rsidRPr="008E4503">
        <w:rPr>
          <w:rFonts w:ascii="Arial Narrow" w:hAnsi="Arial Narrow"/>
        </w:rPr>
        <w:tab/>
      </w:r>
    </w:p>
    <w:p w:rsidR="001D5A19" w:rsidRPr="008E4503" w:rsidRDefault="001D5A19" w:rsidP="001D5A19">
      <w:pPr>
        <w:tabs>
          <w:tab w:val="left" w:pos="142"/>
        </w:tabs>
        <w:ind w:left="851" w:hanging="709"/>
        <w:jc w:val="both"/>
        <w:rPr>
          <w:rFonts w:ascii="Arial Narrow" w:hAnsi="Arial Narrow"/>
        </w:rPr>
      </w:pPr>
    </w:p>
    <w:p w:rsidR="001D5A19" w:rsidRPr="008E4503" w:rsidRDefault="001D5A19" w:rsidP="001D5A19">
      <w:pPr>
        <w:pStyle w:val="Prrafodelista"/>
        <w:numPr>
          <w:ilvl w:val="0"/>
          <w:numId w:val="18"/>
        </w:numPr>
        <w:tabs>
          <w:tab w:val="left" w:pos="0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banco </w:t>
      </w:r>
      <w:r w:rsidRPr="00854360">
        <w:rPr>
          <w:rFonts w:ascii="Arial Narrow" w:hAnsi="Arial Narrow"/>
        </w:rPr>
        <w:t xml:space="preserve">deberá designar un responsable para dar seguimiento sistemático y oportuno a la administración de riesgos de mercado, crédito, liquidez y otros relevantes, asociados al Forward de Moneda, así como al cumplimiento de las políticas dictadas </w:t>
      </w:r>
      <w:r>
        <w:rPr>
          <w:rFonts w:ascii="Arial Narrow" w:hAnsi="Arial Narrow"/>
        </w:rPr>
        <w:t>para e</w:t>
      </w:r>
      <w:r w:rsidRPr="00854360">
        <w:rPr>
          <w:rFonts w:ascii="Arial Narrow" w:hAnsi="Arial Narrow"/>
        </w:rPr>
        <w:t>l control de la operación de dicho instrumento derivado</w:t>
      </w:r>
      <w:r w:rsidRPr="008E4503">
        <w:rPr>
          <w:rFonts w:ascii="Arial Narrow" w:hAnsi="Arial Narrow"/>
        </w:rPr>
        <w:t>.</w:t>
      </w:r>
    </w:p>
    <w:p w:rsidR="001D5A19" w:rsidRPr="008E4503" w:rsidRDefault="001D5A19" w:rsidP="001D5A19">
      <w:pPr>
        <w:tabs>
          <w:tab w:val="left" w:pos="142"/>
        </w:tabs>
        <w:ind w:left="851" w:hanging="709"/>
        <w:jc w:val="both"/>
        <w:rPr>
          <w:rFonts w:ascii="Arial Narrow" w:hAnsi="Arial Narrow"/>
        </w:rPr>
      </w:pPr>
    </w:p>
    <w:p w:rsidR="001D5A19" w:rsidRPr="008E4503" w:rsidRDefault="001D5A19" w:rsidP="001D5A19">
      <w:pPr>
        <w:pStyle w:val="Prrafodelista"/>
        <w:numPr>
          <w:ilvl w:val="0"/>
          <w:numId w:val="18"/>
        </w:numPr>
        <w:tabs>
          <w:tab w:val="left" w:pos="0"/>
        </w:tabs>
        <w:ind w:left="567" w:hanging="567"/>
        <w:jc w:val="both"/>
        <w:rPr>
          <w:rFonts w:ascii="Arial Narrow" w:hAnsi="Arial Narrow"/>
        </w:rPr>
      </w:pPr>
      <w:r w:rsidRPr="00BB05AE">
        <w:rPr>
          <w:rFonts w:ascii="Arial Narrow" w:hAnsi="Arial Narrow"/>
        </w:rPr>
        <w:t xml:space="preserve">La solicitud para autorización debe acompañarse con </w:t>
      </w:r>
      <w:r w:rsidRPr="00CC5082">
        <w:rPr>
          <w:rFonts w:ascii="Arial Narrow" w:hAnsi="Arial Narrow"/>
        </w:rPr>
        <w:t xml:space="preserve">Certificación del punto de Acta de la Junta Directiva del </w:t>
      </w:r>
      <w:r>
        <w:rPr>
          <w:rFonts w:ascii="Arial Narrow" w:hAnsi="Arial Narrow"/>
        </w:rPr>
        <w:t>banco</w:t>
      </w:r>
      <w:r w:rsidRPr="00CC5082">
        <w:rPr>
          <w:rFonts w:ascii="Arial Narrow" w:hAnsi="Arial Narrow"/>
        </w:rPr>
        <w:t xml:space="preserve"> en la que se acuerda solicitar al Banco Central de Reserva, autorización para ofrecer forward de moneda</w:t>
      </w:r>
      <w:r>
        <w:rPr>
          <w:rFonts w:ascii="Arial Narrow" w:hAnsi="Arial Narrow"/>
        </w:rPr>
        <w:t xml:space="preserve"> a sus clientes con objeto de cobertura; así como de </w:t>
      </w:r>
      <w:r w:rsidRPr="00BB05AE">
        <w:rPr>
          <w:rFonts w:ascii="Arial Narrow" w:hAnsi="Arial Narrow"/>
        </w:rPr>
        <w:t xml:space="preserve">comunicación expedida por </w:t>
      </w:r>
      <w:r>
        <w:rPr>
          <w:rFonts w:ascii="Arial Narrow" w:hAnsi="Arial Narrow"/>
        </w:rPr>
        <w:t xml:space="preserve">el Comité de </w:t>
      </w:r>
      <w:r w:rsidRPr="00030633">
        <w:rPr>
          <w:rFonts w:ascii="Arial Narrow" w:hAnsi="Arial Narrow"/>
        </w:rPr>
        <w:t>Auditoría</w:t>
      </w:r>
      <w:r>
        <w:rPr>
          <w:rFonts w:ascii="Arial Narrow" w:hAnsi="Arial Narrow"/>
        </w:rPr>
        <w:t xml:space="preserve"> del banco</w:t>
      </w:r>
      <w:r w:rsidRPr="00BB05AE">
        <w:rPr>
          <w:rFonts w:ascii="Arial Narrow" w:hAnsi="Arial Narrow"/>
        </w:rPr>
        <w:t>, en la que manifiesten que cumple con los requerimientos de carácter administrativo, operacional y de control interno siguientes:</w:t>
      </w:r>
      <w:r w:rsidRPr="008E4503">
        <w:rPr>
          <w:rFonts w:ascii="Arial Narrow" w:hAnsi="Arial Narrow"/>
        </w:rPr>
        <w:t xml:space="preserve">  </w:t>
      </w:r>
    </w:p>
    <w:p w:rsidR="001D5A19" w:rsidRPr="008E4503" w:rsidRDefault="001D5A19" w:rsidP="001D5A19">
      <w:pPr>
        <w:pStyle w:val="Prrafodelista"/>
        <w:tabs>
          <w:tab w:val="left" w:pos="142"/>
          <w:tab w:val="left" w:pos="284"/>
          <w:tab w:val="left" w:pos="1418"/>
        </w:tabs>
        <w:ind w:left="1418" w:hanging="851"/>
        <w:jc w:val="both"/>
        <w:rPr>
          <w:rFonts w:ascii="Arial Narrow" w:hAnsi="Arial Narrow"/>
        </w:rPr>
      </w:pPr>
    </w:p>
    <w:p w:rsidR="001D5A19" w:rsidRPr="0002666C" w:rsidRDefault="001D5A19" w:rsidP="001D5A19">
      <w:pPr>
        <w:pStyle w:val="Prrafodelista"/>
        <w:tabs>
          <w:tab w:val="left" w:pos="142"/>
          <w:tab w:val="left" w:pos="284"/>
          <w:tab w:val="left" w:pos="1134"/>
        </w:tabs>
        <w:ind w:left="1134" w:hanging="567"/>
        <w:jc w:val="both"/>
        <w:rPr>
          <w:rFonts w:ascii="Arial Narrow" w:hAnsi="Arial Narrow"/>
        </w:rPr>
      </w:pPr>
      <w:r w:rsidRPr="008E4503">
        <w:rPr>
          <w:rFonts w:ascii="Arial Narrow" w:hAnsi="Arial Narrow"/>
        </w:rPr>
        <w:t>5.1</w:t>
      </w:r>
      <w:r w:rsidRPr="008E4503">
        <w:rPr>
          <w:rFonts w:ascii="Arial Narrow" w:hAnsi="Arial Narrow"/>
        </w:rPr>
        <w:tab/>
      </w:r>
      <w:r w:rsidRPr="008E4503">
        <w:rPr>
          <w:rFonts w:ascii="Arial Narrow" w:hAnsi="Arial Narrow"/>
          <w:b/>
        </w:rPr>
        <w:t>Requerimientos Administrativos</w:t>
      </w:r>
      <w:r>
        <w:rPr>
          <w:rFonts w:ascii="Arial Narrow" w:hAnsi="Arial Narrow"/>
          <w:b/>
        </w:rPr>
        <w:t xml:space="preserve">. </w:t>
      </w:r>
      <w:r w:rsidRPr="0002666C">
        <w:rPr>
          <w:rFonts w:ascii="Arial Narrow" w:hAnsi="Arial Narrow"/>
        </w:rPr>
        <w:t xml:space="preserve">Contar con un manual del instrumento financiero derivado Forward de Moneda, aprobado por la Junta Directiva, el cual deberá contener como mínimo lo siguiente: </w:t>
      </w:r>
    </w:p>
    <w:p w:rsidR="001D5A19" w:rsidRPr="008E4503" w:rsidRDefault="001D5A19" w:rsidP="001D5A19">
      <w:pPr>
        <w:pStyle w:val="Prrafodelista"/>
        <w:tabs>
          <w:tab w:val="left" w:pos="142"/>
        </w:tabs>
        <w:ind w:left="709" w:hanging="709"/>
        <w:jc w:val="both"/>
        <w:rPr>
          <w:rFonts w:ascii="Arial Narrow" w:hAnsi="Arial Narrow"/>
        </w:rPr>
      </w:pPr>
      <w:r w:rsidRPr="008E4503">
        <w:rPr>
          <w:rFonts w:ascii="Arial Narrow" w:hAnsi="Arial Narrow"/>
        </w:rPr>
        <w:tab/>
      </w:r>
    </w:p>
    <w:tbl>
      <w:tblPr>
        <w:tblStyle w:val="Tablaconcuadrcula"/>
        <w:tblW w:w="87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2"/>
      </w:tblGrid>
      <w:tr w:rsidR="001D5A19" w:rsidRPr="008E4503" w:rsidTr="005E1360">
        <w:tc>
          <w:tcPr>
            <w:tcW w:w="8772" w:type="dxa"/>
          </w:tcPr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 w:rsidRPr="008E4503">
              <w:rPr>
                <w:rFonts w:ascii="Arial Narrow" w:hAnsi="Arial Narrow"/>
              </w:rPr>
              <w:t xml:space="preserve">5.1.1 </w:t>
            </w:r>
            <w:r w:rsidRPr="008E4503">
              <w:rPr>
                <w:rFonts w:ascii="Arial Narrow" w:hAnsi="Arial Narrow"/>
              </w:rPr>
              <w:tab/>
            </w:r>
            <w:r w:rsidRPr="001668AA">
              <w:rPr>
                <w:rFonts w:ascii="Arial Narrow" w:hAnsi="Arial Narrow"/>
              </w:rPr>
              <w:t>Procedimientos y requisitos para la negociación, formalización y monitoreo</w:t>
            </w:r>
            <w:r>
              <w:rPr>
                <w:rFonts w:ascii="Arial Narrow" w:hAnsi="Arial Narrow"/>
              </w:rPr>
              <w:t xml:space="preserve"> del instrumento.</w:t>
            </w:r>
            <w:r w:rsidRPr="008E4503">
              <w:rPr>
                <w:rFonts w:ascii="Arial Narrow" w:hAnsi="Arial Narrow"/>
              </w:rPr>
              <w:t xml:space="preserve"> </w:t>
            </w:r>
          </w:p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709" w:hanging="709"/>
              <w:jc w:val="both"/>
              <w:rPr>
                <w:rFonts w:ascii="Arial Narrow" w:hAnsi="Arial Narrow"/>
              </w:rPr>
            </w:pP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 w:rsidRPr="008E4503">
              <w:rPr>
                <w:rFonts w:ascii="Arial Narrow" w:hAnsi="Arial Narrow"/>
              </w:rPr>
              <w:t xml:space="preserve">5.1.2 </w:t>
            </w:r>
            <w:r w:rsidRPr="008E4503">
              <w:rPr>
                <w:rFonts w:ascii="Arial Narrow" w:hAnsi="Arial Narrow"/>
              </w:rPr>
              <w:tab/>
            </w:r>
            <w:r w:rsidRPr="00C61E94">
              <w:rPr>
                <w:rFonts w:ascii="Arial Narrow" w:hAnsi="Arial Narrow"/>
              </w:rPr>
              <w:t>Metodología y procedimientos de valoración utilizados, incluyendo fuentes de información de los parámetros requeridos,</w:t>
            </w:r>
            <w:r w:rsidRPr="00CC5082">
              <w:rPr>
                <w:rFonts w:ascii="Arial Narrow" w:hAnsi="Arial Narrow"/>
              </w:rPr>
              <w:t xml:space="preserve"> así como las correspondientes notas técnicas, que fundamenten el valor</w:t>
            </w:r>
            <w:r>
              <w:rPr>
                <w:rFonts w:ascii="Arial Narrow" w:hAnsi="Arial Narrow"/>
              </w:rPr>
              <w:t xml:space="preserve"> razonable del instrumento</w:t>
            </w:r>
            <w:r w:rsidRPr="008E4503">
              <w:rPr>
                <w:rFonts w:ascii="Arial Narrow" w:hAnsi="Arial Narrow"/>
              </w:rPr>
              <w:t>.</w:t>
            </w: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5.1.3      Disposiciones respecto a la contabilización.</w:t>
            </w: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5.1.4  </w:t>
            </w:r>
            <w:r w:rsidRPr="00CC5082">
              <w:rPr>
                <w:rFonts w:ascii="Arial Narrow" w:hAnsi="Arial Narrow"/>
              </w:rPr>
              <w:t xml:space="preserve">Procedimientos o técnicas de </w:t>
            </w:r>
            <w:r>
              <w:rPr>
                <w:rFonts w:ascii="Arial Narrow" w:hAnsi="Arial Narrow"/>
              </w:rPr>
              <w:t xml:space="preserve">gestión </w:t>
            </w:r>
            <w:r w:rsidRPr="00CC5082">
              <w:rPr>
                <w:rFonts w:ascii="Arial Narrow" w:hAnsi="Arial Narrow"/>
              </w:rPr>
              <w:t>de riesgos a utilizar</w:t>
            </w:r>
            <w:r>
              <w:rPr>
                <w:rFonts w:ascii="Arial Narrow" w:hAnsi="Arial Narrow"/>
              </w:rPr>
              <w:t>, que incluya la    identificación, medición, control, mitigación, monitoreo y divulgación de los riesgos</w:t>
            </w:r>
            <w:r w:rsidRPr="008E450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5.1.5   </w:t>
            </w:r>
            <w:r w:rsidRPr="0002666C">
              <w:rPr>
                <w:rFonts w:ascii="Arial Narrow" w:hAnsi="Arial Narrow"/>
              </w:rPr>
              <w:t>Procedimiento para determinar el límite de concentración de riegos del Forward de</w:t>
            </w:r>
            <w:r>
              <w:rPr>
                <w:rFonts w:ascii="Arial Narrow" w:hAnsi="Arial Narrow"/>
              </w:rPr>
              <w:t xml:space="preserve"> </w:t>
            </w:r>
            <w:r w:rsidRPr="0002666C">
              <w:rPr>
                <w:rFonts w:ascii="Arial Narrow" w:hAnsi="Arial Narrow"/>
              </w:rPr>
              <w:t xml:space="preserve"> Moneda dentro del portafolio de la Entidad</w:t>
            </w:r>
            <w:r>
              <w:rPr>
                <w:rFonts w:ascii="Arial Narrow" w:hAnsi="Arial Narrow"/>
              </w:rPr>
              <w:t xml:space="preserve"> y respecto a su patrimonio</w:t>
            </w:r>
            <w:r w:rsidRPr="0002666C">
              <w:rPr>
                <w:rFonts w:ascii="Arial Narrow" w:hAnsi="Arial Narrow"/>
              </w:rPr>
              <w:t>.</w:t>
            </w: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5.1.6     </w:t>
            </w:r>
            <w:r w:rsidRPr="00F67480">
              <w:rPr>
                <w:rFonts w:ascii="Arial Narrow" w:hAnsi="Arial Narrow"/>
              </w:rPr>
              <w:t>Plan de contingencia que le permita actuar ante fallas de los controles internos o en los niveles de tolerancia de riesgo de la entidad.</w:t>
            </w: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</w:p>
          <w:p w:rsidR="001D5A19" w:rsidRPr="008E4503" w:rsidRDefault="001D5A19" w:rsidP="001D5A19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5.1.7  </w:t>
            </w:r>
            <w:r w:rsidRPr="00F67480">
              <w:rPr>
                <w:rFonts w:ascii="Arial Narrow" w:hAnsi="Arial Narrow"/>
              </w:rPr>
              <w:t>Otros aspectos  relevantes que a juicio de la entidad se requieran para la negociación.</w:t>
            </w:r>
          </w:p>
        </w:tc>
      </w:tr>
      <w:tr w:rsidR="001D5A19" w:rsidRPr="008E4503" w:rsidTr="005E1360">
        <w:tc>
          <w:tcPr>
            <w:tcW w:w="8772" w:type="dxa"/>
          </w:tcPr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</w:p>
        </w:tc>
      </w:tr>
    </w:tbl>
    <w:p w:rsidR="001D5A19" w:rsidRPr="008E4503" w:rsidRDefault="001D5A19" w:rsidP="001D5A19">
      <w:pPr>
        <w:tabs>
          <w:tab w:val="left" w:pos="142"/>
        </w:tabs>
        <w:ind w:left="851" w:hanging="709"/>
        <w:jc w:val="both"/>
        <w:rPr>
          <w:rFonts w:ascii="Arial Narrow" w:hAnsi="Arial Narrow"/>
        </w:rPr>
      </w:pPr>
    </w:p>
    <w:p w:rsidR="001D5A19" w:rsidRPr="008E4503" w:rsidRDefault="001D5A19" w:rsidP="001D5A19">
      <w:pPr>
        <w:pStyle w:val="Prrafodelista"/>
        <w:tabs>
          <w:tab w:val="left" w:pos="142"/>
          <w:tab w:val="left" w:pos="284"/>
          <w:tab w:val="left" w:pos="1134"/>
        </w:tabs>
        <w:ind w:left="1134" w:hanging="567"/>
        <w:jc w:val="both"/>
        <w:rPr>
          <w:rFonts w:ascii="Arial Narrow" w:hAnsi="Arial Narrow"/>
          <w:b/>
        </w:rPr>
      </w:pPr>
      <w:r w:rsidRPr="008E4503">
        <w:rPr>
          <w:rFonts w:ascii="Arial Narrow" w:hAnsi="Arial Narrow"/>
        </w:rPr>
        <w:t xml:space="preserve">5.2 </w:t>
      </w:r>
      <w:r w:rsidRPr="008E4503">
        <w:rPr>
          <w:rFonts w:ascii="Arial Narrow" w:hAnsi="Arial Narrow"/>
        </w:rPr>
        <w:tab/>
      </w:r>
      <w:r w:rsidRPr="008E4503">
        <w:rPr>
          <w:rFonts w:ascii="Arial Narrow" w:hAnsi="Arial Narrow"/>
          <w:b/>
        </w:rPr>
        <w:t>Requerimientos Operacionales:</w:t>
      </w:r>
    </w:p>
    <w:p w:rsidR="001D5A19" w:rsidRPr="008E4503" w:rsidRDefault="001D5A19" w:rsidP="001D5A19">
      <w:pPr>
        <w:pStyle w:val="Prrafodelista"/>
        <w:tabs>
          <w:tab w:val="left" w:pos="142"/>
        </w:tabs>
        <w:ind w:left="1735" w:hanging="709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45"/>
      </w:tblGrid>
      <w:tr w:rsidR="001D5A19" w:rsidRPr="008E4503" w:rsidTr="005E1360"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 w:rsidRPr="008E4503">
              <w:rPr>
                <w:rFonts w:ascii="Arial Narrow" w:hAnsi="Arial Narrow"/>
              </w:rPr>
              <w:t xml:space="preserve">5.2.1 </w:t>
            </w:r>
            <w:r w:rsidRPr="008E4503">
              <w:rPr>
                <w:rFonts w:ascii="Arial Narrow" w:hAnsi="Arial Narrow"/>
              </w:rPr>
              <w:tab/>
            </w:r>
            <w:r w:rsidRPr="00B106DB">
              <w:rPr>
                <w:rFonts w:ascii="Arial Narrow" w:hAnsi="Arial Narrow"/>
              </w:rPr>
              <w:t xml:space="preserve">Contar con un funcionario responsable con experiencia  reconocida </w:t>
            </w:r>
            <w:r w:rsidRPr="00420C1B">
              <w:rPr>
                <w:rFonts w:ascii="Arial Narrow" w:hAnsi="Arial Narrow"/>
              </w:rPr>
              <w:t xml:space="preserve">en el mercado de instrumentos financieros derivados </w:t>
            </w:r>
            <w:r>
              <w:rPr>
                <w:rFonts w:ascii="Arial Narrow" w:hAnsi="Arial Narrow"/>
              </w:rPr>
              <w:t xml:space="preserve">y/o con </w:t>
            </w:r>
            <w:r w:rsidRPr="00B106DB">
              <w:rPr>
                <w:rFonts w:ascii="Arial Narrow" w:hAnsi="Arial Narrow"/>
              </w:rPr>
              <w:t>alguna acreditación.</w:t>
            </w:r>
            <w:r w:rsidRPr="00444AAC">
              <w:rPr>
                <w:rFonts w:ascii="Arial Narrow" w:hAnsi="Arial Narrow"/>
              </w:rPr>
              <w:t xml:space="preserve"> El personal involucrado directa o indirectamente en el manejo de instrumentos financieros derivados, deberá formar parte de un programa de capacitación continua</w:t>
            </w:r>
            <w:r w:rsidRPr="008E4503">
              <w:rPr>
                <w:rFonts w:ascii="Arial Narrow" w:hAnsi="Arial Narrow"/>
              </w:rPr>
              <w:t>.</w:t>
            </w:r>
          </w:p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851" w:hanging="709"/>
              <w:jc w:val="both"/>
              <w:rPr>
                <w:rFonts w:ascii="Arial Narrow" w:hAnsi="Arial Narrow"/>
              </w:rPr>
            </w:pPr>
          </w:p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 w:rsidRPr="008E4503">
              <w:rPr>
                <w:rFonts w:ascii="Arial Narrow" w:hAnsi="Arial Narrow"/>
              </w:rPr>
              <w:t xml:space="preserve">5.2.2 </w:t>
            </w:r>
            <w:r w:rsidRPr="008E4503">
              <w:rPr>
                <w:rFonts w:ascii="Arial Narrow" w:hAnsi="Arial Narrow"/>
              </w:rPr>
              <w:tab/>
            </w:r>
            <w:r w:rsidRPr="00B106DB">
              <w:rPr>
                <w:rFonts w:ascii="Arial Narrow" w:hAnsi="Arial Narrow"/>
              </w:rPr>
              <w:t>Contar con los recursos tecnológicos para el procesamiento, valoración y seguimiento de las operaciones</w:t>
            </w:r>
          </w:p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851" w:hanging="709"/>
              <w:jc w:val="both"/>
              <w:rPr>
                <w:rFonts w:ascii="Arial Narrow" w:hAnsi="Arial Narrow"/>
              </w:rPr>
            </w:pPr>
          </w:p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 w:rsidRPr="008E4503">
              <w:rPr>
                <w:rFonts w:ascii="Arial Narrow" w:hAnsi="Arial Narrow"/>
              </w:rPr>
              <w:t xml:space="preserve">5.2.3 </w:t>
            </w:r>
            <w:r w:rsidRPr="008E4503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Contar con un</w:t>
            </w:r>
            <w:r w:rsidRPr="00444AAC">
              <w:rPr>
                <w:rFonts w:ascii="Arial Narrow" w:hAnsi="Arial Narrow"/>
              </w:rPr>
              <w:t xml:space="preserve"> Manual de puestos </w:t>
            </w:r>
            <w:r>
              <w:rPr>
                <w:rFonts w:ascii="Arial Narrow" w:hAnsi="Arial Narrow"/>
              </w:rPr>
              <w:t xml:space="preserve">que </w:t>
            </w:r>
            <w:r w:rsidRPr="00444AAC">
              <w:rPr>
                <w:rFonts w:ascii="Arial Narrow" w:hAnsi="Arial Narrow"/>
              </w:rPr>
              <w:t xml:space="preserve">deberá indicar las </w:t>
            </w:r>
            <w:r>
              <w:rPr>
                <w:rFonts w:ascii="Arial Narrow" w:hAnsi="Arial Narrow"/>
              </w:rPr>
              <w:t xml:space="preserve">funciones y </w:t>
            </w:r>
            <w:r w:rsidRPr="00444AAC">
              <w:rPr>
                <w:rFonts w:ascii="Arial Narrow" w:hAnsi="Arial Narrow"/>
              </w:rPr>
              <w:t>responsabilidades del personal involucrado en las operaciones de estos instrumentos</w:t>
            </w:r>
            <w:r w:rsidRPr="008E4503">
              <w:rPr>
                <w:rFonts w:ascii="Arial Narrow" w:hAnsi="Arial Narrow"/>
              </w:rPr>
              <w:t>.</w:t>
            </w:r>
          </w:p>
          <w:p w:rsidR="001D5A19" w:rsidRDefault="001D5A19" w:rsidP="005E1360">
            <w:pPr>
              <w:tabs>
                <w:tab w:val="left" w:pos="142"/>
              </w:tabs>
              <w:jc w:val="both"/>
              <w:rPr>
                <w:rFonts w:ascii="Arial Narrow" w:hAnsi="Arial Narrow"/>
              </w:rPr>
            </w:pPr>
          </w:p>
          <w:p w:rsidR="00D848D2" w:rsidRPr="008E4503" w:rsidRDefault="00D848D2" w:rsidP="005E1360">
            <w:pPr>
              <w:tabs>
                <w:tab w:val="left" w:pos="142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1D5A19" w:rsidRPr="008E4503" w:rsidRDefault="001D5A19" w:rsidP="001D5A19">
      <w:pPr>
        <w:pStyle w:val="Prrafodelista"/>
        <w:tabs>
          <w:tab w:val="left" w:pos="142"/>
          <w:tab w:val="left" w:pos="284"/>
          <w:tab w:val="left" w:pos="1134"/>
        </w:tabs>
        <w:ind w:left="1134" w:hanging="567"/>
        <w:jc w:val="both"/>
        <w:rPr>
          <w:rFonts w:ascii="Arial Narrow" w:hAnsi="Arial Narrow"/>
          <w:b/>
        </w:rPr>
      </w:pPr>
      <w:r w:rsidRPr="008E4503">
        <w:rPr>
          <w:rFonts w:ascii="Arial Narrow" w:hAnsi="Arial Narrow"/>
        </w:rPr>
        <w:t xml:space="preserve">5.3 </w:t>
      </w:r>
      <w:r w:rsidRPr="008E4503">
        <w:rPr>
          <w:rFonts w:ascii="Arial Narrow" w:hAnsi="Arial Narrow"/>
        </w:rPr>
        <w:tab/>
      </w:r>
      <w:r w:rsidRPr="008E4503">
        <w:rPr>
          <w:rFonts w:ascii="Arial Narrow" w:hAnsi="Arial Narrow"/>
          <w:b/>
        </w:rPr>
        <w:t>Requerimientos de Control Interno:</w:t>
      </w:r>
    </w:p>
    <w:p w:rsidR="001D5A19" w:rsidRPr="008E4503" w:rsidRDefault="001D5A19" w:rsidP="001D5A19">
      <w:pPr>
        <w:pStyle w:val="Prrafodelista"/>
        <w:tabs>
          <w:tab w:val="left" w:pos="142"/>
          <w:tab w:val="left" w:pos="284"/>
          <w:tab w:val="left" w:pos="1134"/>
        </w:tabs>
        <w:ind w:left="1134" w:hanging="567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</w:tblGrid>
      <w:tr w:rsidR="001D5A19" w:rsidRPr="008E4503" w:rsidTr="005E1360">
        <w:tc>
          <w:tcPr>
            <w:tcW w:w="8545" w:type="dxa"/>
          </w:tcPr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 w:rsidRPr="008E4503">
              <w:rPr>
                <w:rFonts w:ascii="Arial Narrow" w:hAnsi="Arial Narrow"/>
              </w:rPr>
              <w:t xml:space="preserve">5.3.1 </w:t>
            </w:r>
            <w:r w:rsidRPr="008E4503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Adecuada segregación de funciones entre la </w:t>
            </w:r>
            <w:r w:rsidRPr="009F6EAA">
              <w:rPr>
                <w:rFonts w:ascii="Arial Narrow" w:hAnsi="Arial Narrow"/>
                <w:i/>
              </w:rPr>
              <w:t xml:space="preserve">Front, </w:t>
            </w:r>
            <w:proofErr w:type="spellStart"/>
            <w:r w:rsidRPr="009F6EAA">
              <w:rPr>
                <w:rFonts w:ascii="Arial Narrow" w:hAnsi="Arial Narrow"/>
                <w:i/>
              </w:rPr>
              <w:t>Middle</w:t>
            </w:r>
            <w:proofErr w:type="spellEnd"/>
            <w:r w:rsidRPr="009F6EAA">
              <w:rPr>
                <w:rFonts w:ascii="Arial Narrow" w:hAnsi="Arial Narrow"/>
                <w:i/>
              </w:rPr>
              <w:t xml:space="preserve"> y Back Office</w:t>
            </w:r>
            <w:r w:rsidRPr="00893E8C">
              <w:rPr>
                <w:rFonts w:ascii="Arial Narrow" w:hAnsi="Arial Narrow"/>
              </w:rPr>
              <w:t>.</w:t>
            </w:r>
          </w:p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851" w:hanging="709"/>
              <w:jc w:val="both"/>
              <w:rPr>
                <w:rFonts w:ascii="Arial Narrow" w:hAnsi="Arial Narrow"/>
              </w:rPr>
            </w:pP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 w:rsidRPr="008E4503">
              <w:rPr>
                <w:rFonts w:ascii="Arial Narrow" w:hAnsi="Arial Narrow"/>
              </w:rPr>
              <w:t xml:space="preserve">5.3.2 </w:t>
            </w:r>
            <w:r w:rsidRPr="008E4503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Procedimientos para administrar los potenciales conflictos de interés que pudieran surgir.</w:t>
            </w:r>
          </w:p>
          <w:p w:rsidR="001D5A19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</w:p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5.3.3  L</w:t>
            </w:r>
            <w:r w:rsidRPr="00444AAC">
              <w:rPr>
                <w:rFonts w:ascii="Arial Narrow" w:hAnsi="Arial Narrow"/>
              </w:rPr>
              <w:t>as operaciones concertadas</w:t>
            </w:r>
            <w:r>
              <w:rPr>
                <w:rFonts w:ascii="Arial Narrow" w:hAnsi="Arial Narrow"/>
              </w:rPr>
              <w:t xml:space="preserve">, deberán estar debidamente </w:t>
            </w:r>
            <w:r w:rsidRPr="00444AAC">
              <w:rPr>
                <w:rFonts w:ascii="Arial Narrow" w:hAnsi="Arial Narrow"/>
              </w:rPr>
              <w:t xml:space="preserve">documentadas, confirmadas, registradas y contabilizadas una vez la entidad esté autorizada para ofertar </w:t>
            </w:r>
            <w:r>
              <w:rPr>
                <w:rFonts w:ascii="Arial Narrow" w:hAnsi="Arial Narrow"/>
              </w:rPr>
              <w:t xml:space="preserve">a sus clientes Forward de Moneda, las cuales deberán estar respaldadas con el Contrato Marco y sus componentes, suscrito con el cliente. </w:t>
            </w:r>
            <w:r w:rsidRPr="00444AAC">
              <w:rPr>
                <w:rFonts w:ascii="Arial Narrow" w:hAnsi="Arial Narrow"/>
              </w:rPr>
              <w:t xml:space="preserve"> </w:t>
            </w:r>
          </w:p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851" w:hanging="709"/>
              <w:jc w:val="both"/>
              <w:rPr>
                <w:rFonts w:ascii="Arial Narrow" w:hAnsi="Arial Narrow"/>
              </w:rPr>
            </w:pPr>
          </w:p>
          <w:p w:rsidR="001D5A19" w:rsidRPr="008E4503" w:rsidRDefault="001D5A19" w:rsidP="005E1360">
            <w:pPr>
              <w:pStyle w:val="Prrafodelista"/>
              <w:tabs>
                <w:tab w:val="left" w:pos="142"/>
              </w:tabs>
              <w:ind w:left="1735" w:hanging="709"/>
              <w:jc w:val="both"/>
              <w:rPr>
                <w:rFonts w:ascii="Arial Narrow" w:hAnsi="Arial Narrow"/>
              </w:rPr>
            </w:pPr>
            <w:r w:rsidRPr="008E4503">
              <w:rPr>
                <w:rFonts w:ascii="Arial Narrow" w:hAnsi="Arial Narrow"/>
              </w:rPr>
              <w:t xml:space="preserve">  5.3.</w:t>
            </w:r>
            <w:r>
              <w:rPr>
                <w:rFonts w:ascii="Arial Narrow" w:hAnsi="Arial Narrow"/>
              </w:rPr>
              <w:t>4</w:t>
            </w:r>
            <w:r w:rsidRPr="008E4503">
              <w:rPr>
                <w:rFonts w:ascii="Arial Narrow" w:hAnsi="Arial Narrow"/>
              </w:rPr>
              <w:t xml:space="preserve"> </w:t>
            </w:r>
            <w:r w:rsidRPr="008E4503">
              <w:rPr>
                <w:rFonts w:ascii="Arial Narrow" w:hAnsi="Arial Narrow"/>
              </w:rPr>
              <w:tab/>
              <w:t xml:space="preserve"> </w:t>
            </w:r>
            <w:r w:rsidRPr="00444AAC">
              <w:rPr>
                <w:rFonts w:ascii="Arial Narrow" w:hAnsi="Arial Narrow"/>
              </w:rPr>
              <w:t xml:space="preserve">Los registros de </w:t>
            </w:r>
            <w:r w:rsidRPr="001E6ACB">
              <w:rPr>
                <w:rFonts w:ascii="Arial Narrow" w:hAnsi="Arial Narrow"/>
              </w:rPr>
              <w:t>las operaciones</w:t>
            </w:r>
            <w:r w:rsidRPr="00444AAC">
              <w:rPr>
                <w:rFonts w:ascii="Arial Narrow" w:hAnsi="Arial Narrow"/>
              </w:rPr>
              <w:t xml:space="preserve"> y los de contabilidad deberán ser consistentes.</w:t>
            </w:r>
          </w:p>
        </w:tc>
      </w:tr>
    </w:tbl>
    <w:p w:rsidR="001D5A19" w:rsidRPr="008E4503" w:rsidRDefault="001D5A19" w:rsidP="001D5A19">
      <w:pPr>
        <w:pStyle w:val="Prrafodelista"/>
        <w:tabs>
          <w:tab w:val="left" w:pos="142"/>
        </w:tabs>
        <w:ind w:left="851" w:hanging="709"/>
        <w:jc w:val="both"/>
        <w:rPr>
          <w:rFonts w:ascii="Arial Narrow" w:hAnsi="Arial Narrow"/>
        </w:rPr>
      </w:pPr>
      <w:r w:rsidRPr="008E4503">
        <w:rPr>
          <w:rFonts w:ascii="Arial Narrow" w:hAnsi="Arial Narrow"/>
        </w:rPr>
        <w:tab/>
      </w:r>
    </w:p>
    <w:p w:rsidR="001D5A19" w:rsidRPr="008E4503" w:rsidRDefault="001D5A19" w:rsidP="001D5A19">
      <w:pPr>
        <w:pStyle w:val="Prrafodelista"/>
        <w:numPr>
          <w:ilvl w:val="0"/>
          <w:numId w:val="18"/>
        </w:numPr>
        <w:tabs>
          <w:tab w:val="left" w:pos="142"/>
        </w:tabs>
        <w:ind w:left="851" w:hanging="709"/>
        <w:jc w:val="both"/>
        <w:rPr>
          <w:rFonts w:ascii="Arial Narrow" w:hAnsi="Arial Narrow"/>
        </w:rPr>
      </w:pPr>
      <w:r w:rsidRPr="008E4503">
        <w:rPr>
          <w:rFonts w:ascii="Arial Narrow" w:hAnsi="Arial Narrow"/>
        </w:rPr>
        <w:t>La valoración de</w:t>
      </w:r>
      <w:r>
        <w:rPr>
          <w:rFonts w:ascii="Arial Narrow" w:hAnsi="Arial Narrow"/>
        </w:rPr>
        <w:t>l Forward de Moneda se realizará diariamente</w:t>
      </w:r>
      <w:r w:rsidRPr="008E45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y será el banco quien defina su metodología de valoración, fórmulas, parámetros y fuentes a utilizar; la cual deberá hacerse de </w:t>
      </w:r>
      <w:r>
        <w:rPr>
          <w:rFonts w:ascii="Arial Narrow" w:hAnsi="Arial Narrow"/>
        </w:rPr>
        <w:lastRenderedPageBreak/>
        <w:t>conocimiento del Banco Central y Superintendencia del Sistema Financiero</w:t>
      </w:r>
      <w:r w:rsidRPr="008E450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Una vez establecida su metodología no podrá ser modificada en el plazo de un año.</w:t>
      </w:r>
    </w:p>
    <w:p w:rsidR="001D5A19" w:rsidRPr="008E4503" w:rsidRDefault="001D5A19" w:rsidP="001D5A19">
      <w:pPr>
        <w:tabs>
          <w:tab w:val="left" w:pos="142"/>
        </w:tabs>
        <w:jc w:val="both"/>
        <w:rPr>
          <w:rFonts w:ascii="Arial Narrow" w:hAnsi="Arial Narrow"/>
        </w:rPr>
      </w:pPr>
      <w:r w:rsidRPr="008E4503">
        <w:rPr>
          <w:rFonts w:ascii="Arial Narrow" w:hAnsi="Arial Narrow"/>
        </w:rPr>
        <w:tab/>
      </w:r>
      <w:r w:rsidRPr="008E4503">
        <w:rPr>
          <w:rFonts w:ascii="Arial Narrow" w:hAnsi="Arial Narrow"/>
        </w:rPr>
        <w:tab/>
        <w:t xml:space="preserve">  </w:t>
      </w:r>
      <w:r w:rsidRPr="008E4503">
        <w:rPr>
          <w:rFonts w:ascii="Arial Narrow" w:hAnsi="Arial Narrow"/>
        </w:rPr>
        <w:tab/>
      </w:r>
      <w:r w:rsidRPr="008E4503">
        <w:rPr>
          <w:rFonts w:ascii="Arial Narrow" w:hAnsi="Arial Narrow"/>
        </w:rPr>
        <w:tab/>
        <w:t xml:space="preserve"> </w:t>
      </w:r>
    </w:p>
    <w:p w:rsidR="001D5A19" w:rsidRPr="008E4503" w:rsidRDefault="001D5A19" w:rsidP="001D5A19">
      <w:pPr>
        <w:pStyle w:val="Prrafodelista"/>
        <w:numPr>
          <w:ilvl w:val="0"/>
          <w:numId w:val="18"/>
        </w:numPr>
        <w:tabs>
          <w:tab w:val="left" w:pos="142"/>
        </w:tabs>
        <w:ind w:left="851" w:hanging="709"/>
        <w:jc w:val="both"/>
        <w:rPr>
          <w:rFonts w:ascii="Arial Narrow" w:hAnsi="Arial Narrow"/>
        </w:rPr>
      </w:pPr>
      <w:r w:rsidRPr="0075714E">
        <w:rPr>
          <w:rFonts w:ascii="Arial Narrow" w:hAnsi="Arial Narrow"/>
        </w:rPr>
        <w:t>El Banco deberá elaborar y suscribir con su cliente un Contrato Marco para la operación de Forward de Moneda, dicho contrato contendrá los principales términos y condiciones para la negociación. El Contrato marco estará conformado por tres partes, el texto mismo del contrato marco, el suplemento y los documentos de confirmación</w:t>
      </w:r>
      <w:r>
        <w:rPr>
          <w:rFonts w:ascii="Arial Narrow" w:hAnsi="Arial Narrow"/>
        </w:rPr>
        <w:t>.</w:t>
      </w:r>
    </w:p>
    <w:p w:rsidR="001D5A19" w:rsidRPr="008E4503" w:rsidRDefault="001D5A19" w:rsidP="001D5A19">
      <w:pPr>
        <w:tabs>
          <w:tab w:val="left" w:pos="142"/>
        </w:tabs>
        <w:ind w:left="851" w:hanging="709"/>
        <w:jc w:val="both"/>
        <w:rPr>
          <w:rFonts w:ascii="Arial Narrow" w:hAnsi="Arial Narrow"/>
        </w:rPr>
      </w:pPr>
    </w:p>
    <w:p w:rsidR="001D5A19" w:rsidRPr="00590A8D" w:rsidRDefault="001D5A19" w:rsidP="001D5A19">
      <w:p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El</w:t>
      </w:r>
      <w:r w:rsidRPr="00590A8D">
        <w:rPr>
          <w:rFonts w:ascii="Arial Narrow" w:hAnsi="Arial Narrow"/>
        </w:rPr>
        <w:t xml:space="preserve"> Contrato contendrá como mínimo los siguientes aspectos: a)</w:t>
      </w:r>
      <w:r>
        <w:rPr>
          <w:rFonts w:ascii="Arial Narrow" w:hAnsi="Arial Narrow"/>
        </w:rPr>
        <w:t xml:space="preserve"> </w:t>
      </w:r>
      <w:r w:rsidRPr="00590A8D">
        <w:rPr>
          <w:rFonts w:ascii="Arial Narrow" w:hAnsi="Arial Narrow"/>
        </w:rPr>
        <w:t>Definiciones, b)</w:t>
      </w:r>
      <w:r>
        <w:rPr>
          <w:rFonts w:ascii="Arial Narrow" w:hAnsi="Arial Narrow"/>
        </w:rPr>
        <w:t xml:space="preserve"> </w:t>
      </w:r>
      <w:r w:rsidRPr="00590A8D">
        <w:rPr>
          <w:rFonts w:ascii="Arial Narrow" w:hAnsi="Arial Narrow"/>
        </w:rPr>
        <w:t>Declaraciones de capacidad/facultades de las partes, c) Causales de terminación anticipada, d) Causales de incumplimiento, e) Efectos del incumplimiento y de terminación anticipada y f)</w:t>
      </w:r>
      <w:r>
        <w:rPr>
          <w:rFonts w:ascii="Arial Narrow" w:hAnsi="Arial Narrow"/>
        </w:rPr>
        <w:t xml:space="preserve"> </w:t>
      </w:r>
      <w:r w:rsidRPr="00590A8D">
        <w:rPr>
          <w:rFonts w:ascii="Arial Narrow" w:hAnsi="Arial Narrow"/>
        </w:rPr>
        <w:t>Cláusulas especiales.</w:t>
      </w:r>
    </w:p>
    <w:p w:rsidR="001D5A19" w:rsidRPr="008E4503" w:rsidRDefault="001D5A19" w:rsidP="001D5A19">
      <w:pPr>
        <w:pStyle w:val="Prrafodelista"/>
        <w:tabs>
          <w:tab w:val="left" w:pos="142"/>
        </w:tabs>
        <w:ind w:left="851" w:hanging="709"/>
        <w:jc w:val="both"/>
        <w:rPr>
          <w:rFonts w:ascii="Arial Narrow" w:hAnsi="Arial Narrow"/>
        </w:rPr>
      </w:pPr>
      <w:r w:rsidRPr="008E4503">
        <w:rPr>
          <w:rFonts w:ascii="Arial Narrow" w:hAnsi="Arial Narrow"/>
        </w:rPr>
        <w:tab/>
      </w:r>
    </w:p>
    <w:p w:rsidR="001D5A19" w:rsidRDefault="001D5A19" w:rsidP="001D5A19">
      <w:pPr>
        <w:pStyle w:val="Prrafodelista"/>
        <w:tabs>
          <w:tab w:val="left" w:pos="142"/>
        </w:tabs>
        <w:ind w:left="851" w:hanging="709"/>
        <w:jc w:val="both"/>
        <w:rPr>
          <w:rFonts w:ascii="Arial Narrow" w:hAnsi="Arial Narrow"/>
        </w:rPr>
      </w:pPr>
      <w:r w:rsidRPr="008E4503">
        <w:rPr>
          <w:rFonts w:ascii="Arial Narrow" w:hAnsi="Arial Narrow"/>
        </w:rPr>
        <w:tab/>
      </w:r>
      <w:r w:rsidRPr="00356C02">
        <w:rPr>
          <w:rFonts w:ascii="Arial Narrow" w:hAnsi="Arial Narrow"/>
        </w:rPr>
        <w:t xml:space="preserve">El Banco deberá depositar los Contratos en la Superintendencia del Sistema Financiero, para que sea verificado conjuntamente con la Defensoría del Consumidor, a fin de constatar que cumple con lo referido a los derechos del consumidor y sean considerados en depósito definitivo. </w:t>
      </w:r>
    </w:p>
    <w:p w:rsidR="001D5A19" w:rsidRPr="008E4503" w:rsidRDefault="001D5A19" w:rsidP="001D5A19">
      <w:pPr>
        <w:pStyle w:val="Prrafodelista"/>
        <w:tabs>
          <w:tab w:val="left" w:pos="142"/>
        </w:tabs>
        <w:ind w:left="851" w:hanging="709"/>
        <w:jc w:val="both"/>
        <w:rPr>
          <w:rFonts w:ascii="Arial Narrow" w:hAnsi="Arial Narrow"/>
        </w:rPr>
      </w:pPr>
    </w:p>
    <w:p w:rsidR="001D5A19" w:rsidRPr="008E4503" w:rsidRDefault="001D5A19" w:rsidP="001D5A19">
      <w:pPr>
        <w:pStyle w:val="Prrafodelista"/>
        <w:numPr>
          <w:ilvl w:val="0"/>
          <w:numId w:val="18"/>
        </w:numPr>
        <w:tabs>
          <w:tab w:val="left" w:pos="142"/>
        </w:tabs>
        <w:ind w:left="851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Lo</w:t>
      </w:r>
      <w:r w:rsidRPr="009D2863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>bancos autorizado</w:t>
      </w:r>
      <w:r w:rsidRPr="009D2863">
        <w:rPr>
          <w:rFonts w:ascii="Arial Narrow" w:hAnsi="Arial Narrow"/>
        </w:rPr>
        <w:t>s, deberán remitir al Banco Central y a la S</w:t>
      </w:r>
      <w:r>
        <w:rPr>
          <w:rFonts w:ascii="Arial Narrow" w:hAnsi="Arial Narrow"/>
        </w:rPr>
        <w:t xml:space="preserve">uperintendencia del </w:t>
      </w:r>
      <w:r w:rsidRPr="009D2863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istema </w:t>
      </w:r>
      <w:r w:rsidRPr="009D2863">
        <w:rPr>
          <w:rFonts w:ascii="Arial Narrow" w:hAnsi="Arial Narrow"/>
        </w:rPr>
        <w:t>F</w:t>
      </w:r>
      <w:r>
        <w:rPr>
          <w:rFonts w:ascii="Arial Narrow" w:hAnsi="Arial Narrow"/>
        </w:rPr>
        <w:t>inanciero</w:t>
      </w:r>
      <w:r w:rsidRPr="009D2863">
        <w:rPr>
          <w:rFonts w:ascii="Arial Narrow" w:hAnsi="Arial Narrow"/>
        </w:rPr>
        <w:t xml:space="preserve"> diariamente y cada vez que sea requerido, la información relacionada  a las operaciones, especificando el número de contratos vigentes, monto de las coberturas, agente comprador, agente vendedor y valoración de la operación </w:t>
      </w:r>
      <w:r>
        <w:rPr>
          <w:rFonts w:ascii="Arial Narrow" w:hAnsi="Arial Narrow"/>
        </w:rPr>
        <w:t xml:space="preserve">referido </w:t>
      </w:r>
      <w:r w:rsidRPr="009D2863">
        <w:rPr>
          <w:rFonts w:ascii="Arial Narrow" w:hAnsi="Arial Narrow"/>
        </w:rPr>
        <w:t>al cierre de cada día</w:t>
      </w:r>
      <w:r>
        <w:rPr>
          <w:rFonts w:ascii="Arial Narrow" w:hAnsi="Arial Narrow"/>
        </w:rPr>
        <w:t xml:space="preserve"> de acuerdo al formato Anexo</w:t>
      </w:r>
      <w:r w:rsidRPr="008E4503">
        <w:rPr>
          <w:rFonts w:ascii="Arial Narrow" w:hAnsi="Arial Narrow"/>
        </w:rPr>
        <w:t>.</w:t>
      </w:r>
    </w:p>
    <w:p w:rsidR="001D5A19" w:rsidRPr="00F25CA8" w:rsidRDefault="001D5A19" w:rsidP="001D5A19">
      <w:pPr>
        <w:tabs>
          <w:tab w:val="left" w:pos="142"/>
        </w:tabs>
        <w:jc w:val="both"/>
        <w:rPr>
          <w:rFonts w:ascii="Arial Narrow" w:hAnsi="Arial Narrow"/>
        </w:rPr>
      </w:pPr>
    </w:p>
    <w:p w:rsidR="001D5A19" w:rsidRPr="008E4503" w:rsidRDefault="001D5A19" w:rsidP="001D5A19">
      <w:pPr>
        <w:tabs>
          <w:tab w:val="left" w:pos="142"/>
        </w:tabs>
        <w:ind w:left="142"/>
        <w:jc w:val="both"/>
        <w:rPr>
          <w:rFonts w:ascii="Arial Narrow" w:hAnsi="Arial Narrow"/>
        </w:rPr>
      </w:pPr>
    </w:p>
    <w:p w:rsidR="001D5A19" w:rsidRPr="0057116E" w:rsidRDefault="001D5A19" w:rsidP="001D5A19">
      <w:pPr>
        <w:pStyle w:val="Prrafodelista"/>
        <w:numPr>
          <w:ilvl w:val="0"/>
          <w:numId w:val="18"/>
        </w:numPr>
        <w:tabs>
          <w:tab w:val="left" w:pos="142"/>
        </w:tabs>
        <w:ind w:left="851" w:hanging="709"/>
        <w:jc w:val="both"/>
        <w:rPr>
          <w:rFonts w:ascii="Arial Narrow" w:hAnsi="Arial Narrow"/>
        </w:rPr>
      </w:pPr>
      <w:r w:rsidRPr="0057116E">
        <w:rPr>
          <w:rFonts w:ascii="Arial Narrow" w:hAnsi="Arial Narrow"/>
        </w:rPr>
        <w:t>Este tipo de operaciones tendrán aspectos a regularse</w:t>
      </w:r>
      <w:r>
        <w:rPr>
          <w:rFonts w:ascii="Arial Narrow" w:hAnsi="Arial Narrow"/>
        </w:rPr>
        <w:t xml:space="preserve"> tales como</w:t>
      </w:r>
      <w:r w:rsidRPr="0057116E">
        <w:rPr>
          <w:rFonts w:ascii="Arial Narrow" w:hAnsi="Arial Narrow"/>
        </w:rPr>
        <w:t xml:space="preserve"> la contabilización, requerimiento de capital, valorización y otros aspectos que se consideren necesarios para el adecuado desarrollo de este producto</w:t>
      </w:r>
      <w:r>
        <w:rPr>
          <w:rFonts w:ascii="Arial Narrow" w:hAnsi="Arial Narrow"/>
        </w:rPr>
        <w:t xml:space="preserve">; </w:t>
      </w:r>
      <w:r w:rsidRPr="0057116E">
        <w:rPr>
          <w:rFonts w:ascii="Arial Narrow" w:hAnsi="Arial Narrow"/>
        </w:rPr>
        <w:t>que se</w:t>
      </w:r>
      <w:r>
        <w:rPr>
          <w:rFonts w:ascii="Arial Narrow" w:hAnsi="Arial Narrow"/>
        </w:rPr>
        <w:t xml:space="preserve"> establecerán </w:t>
      </w:r>
      <w:r w:rsidRPr="0057116E">
        <w:rPr>
          <w:rFonts w:ascii="Arial Narrow" w:hAnsi="Arial Narrow"/>
        </w:rPr>
        <w:t>en una Normativa</w:t>
      </w:r>
      <w:r>
        <w:rPr>
          <w:rFonts w:ascii="Arial Narrow" w:hAnsi="Arial Narrow"/>
        </w:rPr>
        <w:t xml:space="preserve"> Técnica emitida por el Banco Central a través del Comité de Normas</w:t>
      </w:r>
      <w:r w:rsidRPr="0057116E">
        <w:rPr>
          <w:rFonts w:ascii="Arial Narrow" w:hAnsi="Arial Narrow"/>
        </w:rPr>
        <w:t xml:space="preserve">. </w:t>
      </w:r>
    </w:p>
    <w:p w:rsidR="001D5A19" w:rsidRPr="008E4503" w:rsidRDefault="001D5A19" w:rsidP="001D5A19">
      <w:pPr>
        <w:tabs>
          <w:tab w:val="left" w:pos="142"/>
        </w:tabs>
        <w:ind w:left="851" w:hanging="709"/>
        <w:jc w:val="both"/>
        <w:rPr>
          <w:rFonts w:ascii="Arial Narrow" w:hAnsi="Arial Narrow"/>
        </w:rPr>
      </w:pPr>
    </w:p>
    <w:p w:rsidR="001D5A19" w:rsidRPr="008E4503" w:rsidRDefault="001D5A19" w:rsidP="001D5A19">
      <w:pPr>
        <w:pStyle w:val="Prrafodelista"/>
        <w:numPr>
          <w:ilvl w:val="0"/>
          <w:numId w:val="18"/>
        </w:numPr>
        <w:tabs>
          <w:tab w:val="left" w:pos="0"/>
          <w:tab w:val="left" w:pos="142"/>
          <w:tab w:val="left" w:pos="709"/>
        </w:tabs>
        <w:ind w:left="851" w:hanging="709"/>
        <w:jc w:val="both"/>
        <w:rPr>
          <w:rFonts w:ascii="Arial Narrow" w:hAnsi="Arial Narrow"/>
          <w:lang w:val="es-ES"/>
        </w:rPr>
      </w:pPr>
      <w:r w:rsidRPr="008E4503">
        <w:rPr>
          <w:rFonts w:ascii="Arial Narrow" w:hAnsi="Arial Narrow"/>
        </w:rPr>
        <w:t xml:space="preserve"> </w:t>
      </w:r>
      <w:r w:rsidRPr="008E4503">
        <w:rPr>
          <w:rFonts w:ascii="Arial Narrow" w:hAnsi="Arial Narrow"/>
        </w:rPr>
        <w:tab/>
      </w:r>
      <w:r w:rsidRPr="00EF719C">
        <w:rPr>
          <w:rFonts w:ascii="Arial Narrow" w:hAnsi="Arial Narrow"/>
          <w:lang w:val="es-ES"/>
        </w:rPr>
        <w:t xml:space="preserve">El Banco Central </w:t>
      </w:r>
      <w:r>
        <w:rPr>
          <w:rFonts w:ascii="Arial Narrow" w:hAnsi="Arial Narrow"/>
          <w:lang w:val="es-ES"/>
        </w:rPr>
        <w:t xml:space="preserve">podrá requerir </w:t>
      </w:r>
      <w:r w:rsidRPr="00845066">
        <w:rPr>
          <w:rFonts w:ascii="Arial Narrow" w:hAnsi="Arial Narrow"/>
          <w:lang w:val="es-ES"/>
        </w:rPr>
        <w:t xml:space="preserve">otra información </w:t>
      </w:r>
      <w:r>
        <w:rPr>
          <w:rFonts w:ascii="Arial Narrow" w:hAnsi="Arial Narrow"/>
          <w:lang w:val="es-ES"/>
        </w:rPr>
        <w:t>para obtener aclaraciones sobre la documentación presentada y a</w:t>
      </w:r>
      <w:r w:rsidRPr="00EF719C">
        <w:rPr>
          <w:rFonts w:ascii="Arial Narrow" w:hAnsi="Arial Narrow"/>
          <w:lang w:val="es-ES"/>
        </w:rPr>
        <w:t>nalizará cada petición y resolverá lo pertinente considerando el impacto que cada solicitud tenga en la estabilidad y desarrollo del sistema financiero</w:t>
      </w:r>
      <w:r w:rsidRPr="008E4503">
        <w:rPr>
          <w:rFonts w:ascii="Arial Narrow" w:hAnsi="Arial Narrow"/>
          <w:lang w:val="es-ES"/>
        </w:rPr>
        <w:t>.</w:t>
      </w:r>
    </w:p>
    <w:p w:rsidR="001D5A19" w:rsidRPr="001D5A19" w:rsidRDefault="001D5A19" w:rsidP="002F20AF">
      <w:pPr>
        <w:jc w:val="both"/>
        <w:rPr>
          <w:rFonts w:ascii="Arial Narrow" w:hAnsi="Arial Narrow" w:cs="Arial"/>
          <w:b/>
          <w:sz w:val="24"/>
          <w:szCs w:val="24"/>
          <w:lang w:val="es-ES"/>
        </w:rPr>
      </w:pPr>
    </w:p>
    <w:p w:rsidR="001D5A19" w:rsidRDefault="001D5A19" w:rsidP="002F20A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D5A19" w:rsidRDefault="001D5A19" w:rsidP="002F20A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F20AF" w:rsidRPr="002F20AF" w:rsidRDefault="002F20AF" w:rsidP="002F20AF">
      <w:pPr>
        <w:jc w:val="both"/>
        <w:rPr>
          <w:rFonts w:ascii="Arial Narrow" w:hAnsi="Arial Narrow" w:cs="Arial"/>
          <w:b/>
          <w:sz w:val="24"/>
          <w:szCs w:val="24"/>
        </w:rPr>
      </w:pPr>
      <w:r w:rsidRPr="002F20AF">
        <w:rPr>
          <w:rFonts w:ascii="Arial Narrow" w:hAnsi="Arial Narrow" w:cs="Arial"/>
          <w:b/>
          <w:sz w:val="24"/>
          <w:szCs w:val="24"/>
        </w:rPr>
        <w:t xml:space="preserve">(Aprobadas por el Consejo Directivo del Banco Central de Reserva en Sesión No. </w:t>
      </w:r>
      <w:r w:rsidR="002273ED">
        <w:rPr>
          <w:rFonts w:ascii="Arial Narrow" w:hAnsi="Arial Narrow" w:cs="Arial"/>
          <w:b/>
          <w:sz w:val="24"/>
          <w:szCs w:val="24"/>
        </w:rPr>
        <w:t>4</w:t>
      </w:r>
      <w:r w:rsidRPr="002F20AF">
        <w:rPr>
          <w:rFonts w:ascii="Arial Narrow" w:hAnsi="Arial Narrow" w:cs="Arial"/>
          <w:b/>
          <w:sz w:val="24"/>
          <w:szCs w:val="24"/>
        </w:rPr>
        <w:t>1/201</w:t>
      </w:r>
      <w:r w:rsidR="002273ED">
        <w:rPr>
          <w:rFonts w:ascii="Arial Narrow" w:hAnsi="Arial Narrow" w:cs="Arial"/>
          <w:b/>
          <w:sz w:val="24"/>
          <w:szCs w:val="24"/>
        </w:rPr>
        <w:t>2</w:t>
      </w:r>
      <w:r w:rsidRPr="002F20AF">
        <w:rPr>
          <w:rFonts w:ascii="Arial Narrow" w:hAnsi="Arial Narrow" w:cs="Arial"/>
          <w:b/>
          <w:sz w:val="24"/>
          <w:szCs w:val="24"/>
        </w:rPr>
        <w:t xml:space="preserve">, del </w:t>
      </w:r>
      <w:r w:rsidR="002273ED">
        <w:rPr>
          <w:rFonts w:ascii="Arial Narrow" w:hAnsi="Arial Narrow" w:cs="Arial"/>
          <w:b/>
          <w:sz w:val="24"/>
          <w:szCs w:val="24"/>
        </w:rPr>
        <w:t>31</w:t>
      </w:r>
      <w:r w:rsidRPr="002F20AF">
        <w:rPr>
          <w:rFonts w:ascii="Arial Narrow" w:hAnsi="Arial Narrow" w:cs="Arial"/>
          <w:b/>
          <w:sz w:val="24"/>
          <w:szCs w:val="24"/>
        </w:rPr>
        <w:t xml:space="preserve"> de </w:t>
      </w:r>
      <w:r w:rsidR="002273ED">
        <w:rPr>
          <w:rFonts w:ascii="Arial Narrow" w:hAnsi="Arial Narrow" w:cs="Arial"/>
          <w:b/>
          <w:sz w:val="24"/>
          <w:szCs w:val="24"/>
        </w:rPr>
        <w:t>Octubre</w:t>
      </w:r>
      <w:r w:rsidRPr="002F20AF">
        <w:rPr>
          <w:rFonts w:ascii="Arial Narrow" w:hAnsi="Arial Narrow" w:cs="Arial"/>
          <w:b/>
          <w:sz w:val="24"/>
          <w:szCs w:val="24"/>
        </w:rPr>
        <w:t xml:space="preserve"> de 201</w:t>
      </w:r>
      <w:r w:rsidR="002273ED">
        <w:rPr>
          <w:rFonts w:ascii="Arial Narrow" w:hAnsi="Arial Narrow" w:cs="Arial"/>
          <w:b/>
          <w:sz w:val="24"/>
          <w:szCs w:val="24"/>
        </w:rPr>
        <w:t>2</w:t>
      </w:r>
      <w:r w:rsidRPr="002F20AF">
        <w:rPr>
          <w:rFonts w:ascii="Arial Narrow" w:hAnsi="Arial Narrow" w:cs="Arial"/>
          <w:b/>
          <w:sz w:val="24"/>
          <w:szCs w:val="24"/>
        </w:rPr>
        <w:t>).</w:t>
      </w:r>
    </w:p>
    <w:p w:rsidR="0047269E" w:rsidRDefault="0047269E" w:rsidP="002F20A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F20AF" w:rsidRPr="002F20AF" w:rsidRDefault="002F20AF" w:rsidP="002F20AF">
      <w:pPr>
        <w:jc w:val="both"/>
        <w:rPr>
          <w:rFonts w:ascii="Arial Narrow" w:hAnsi="Arial Narrow" w:cs="Arial"/>
          <w:b/>
          <w:sz w:val="24"/>
          <w:szCs w:val="24"/>
        </w:rPr>
      </w:pPr>
      <w:r w:rsidRPr="002F20AF">
        <w:rPr>
          <w:rFonts w:ascii="Arial Narrow" w:hAnsi="Arial Narrow" w:cs="Arial"/>
          <w:b/>
          <w:sz w:val="24"/>
          <w:szCs w:val="24"/>
        </w:rPr>
        <w:t xml:space="preserve">(1) Modificaciones aprobadas </w:t>
      </w:r>
      <w:r w:rsidR="00430DAB">
        <w:rPr>
          <w:rFonts w:ascii="Arial Narrow" w:hAnsi="Arial Narrow" w:cs="Arial"/>
          <w:b/>
          <w:sz w:val="24"/>
          <w:szCs w:val="24"/>
        </w:rPr>
        <w:t xml:space="preserve">por </w:t>
      </w:r>
      <w:r w:rsidRPr="002F20AF">
        <w:rPr>
          <w:rFonts w:ascii="Arial Narrow" w:hAnsi="Arial Narrow" w:cs="Arial"/>
          <w:b/>
          <w:sz w:val="24"/>
          <w:szCs w:val="24"/>
        </w:rPr>
        <w:t xml:space="preserve">el Consejo Directivo del Banco Central de Reserva en Sesión No. </w:t>
      </w:r>
      <w:r w:rsidR="002273ED">
        <w:rPr>
          <w:rFonts w:ascii="Arial Narrow" w:hAnsi="Arial Narrow" w:cs="Arial"/>
          <w:b/>
          <w:sz w:val="24"/>
          <w:szCs w:val="24"/>
        </w:rPr>
        <w:t>1</w:t>
      </w:r>
      <w:r w:rsidRPr="002F20AF">
        <w:rPr>
          <w:rFonts w:ascii="Arial Narrow" w:hAnsi="Arial Narrow" w:cs="Arial"/>
          <w:b/>
          <w:sz w:val="24"/>
          <w:szCs w:val="24"/>
        </w:rPr>
        <w:t>/201</w:t>
      </w:r>
      <w:r w:rsidR="002273ED">
        <w:rPr>
          <w:rFonts w:ascii="Arial Narrow" w:hAnsi="Arial Narrow" w:cs="Arial"/>
          <w:b/>
          <w:sz w:val="24"/>
          <w:szCs w:val="24"/>
        </w:rPr>
        <w:t>9</w:t>
      </w:r>
      <w:r w:rsidRPr="002F20AF">
        <w:rPr>
          <w:rFonts w:ascii="Arial Narrow" w:hAnsi="Arial Narrow" w:cs="Arial"/>
          <w:b/>
          <w:sz w:val="24"/>
          <w:szCs w:val="24"/>
        </w:rPr>
        <w:t xml:space="preserve">, del </w:t>
      </w:r>
      <w:r w:rsidR="002273ED">
        <w:rPr>
          <w:rFonts w:ascii="Arial Narrow" w:hAnsi="Arial Narrow" w:cs="Arial"/>
          <w:b/>
          <w:sz w:val="24"/>
          <w:szCs w:val="24"/>
        </w:rPr>
        <w:t>7</w:t>
      </w:r>
      <w:r w:rsidRPr="002F20AF">
        <w:rPr>
          <w:rFonts w:ascii="Arial Narrow" w:hAnsi="Arial Narrow" w:cs="Arial"/>
          <w:b/>
          <w:sz w:val="24"/>
          <w:szCs w:val="24"/>
        </w:rPr>
        <w:t xml:space="preserve"> de </w:t>
      </w:r>
      <w:r w:rsidR="002273ED">
        <w:rPr>
          <w:rFonts w:ascii="Arial Narrow" w:hAnsi="Arial Narrow" w:cs="Arial"/>
          <w:b/>
          <w:sz w:val="24"/>
          <w:szCs w:val="24"/>
        </w:rPr>
        <w:t xml:space="preserve">enero </w:t>
      </w:r>
      <w:r w:rsidRPr="002F20AF">
        <w:rPr>
          <w:rFonts w:ascii="Arial Narrow" w:hAnsi="Arial Narrow" w:cs="Arial"/>
          <w:b/>
          <w:sz w:val="24"/>
          <w:szCs w:val="24"/>
        </w:rPr>
        <w:t>de 201</w:t>
      </w:r>
      <w:r w:rsidR="002273ED">
        <w:rPr>
          <w:rFonts w:ascii="Arial Narrow" w:hAnsi="Arial Narrow" w:cs="Arial"/>
          <w:b/>
          <w:sz w:val="24"/>
          <w:szCs w:val="24"/>
        </w:rPr>
        <w:t>9</w:t>
      </w:r>
      <w:r w:rsidRPr="002F20AF">
        <w:rPr>
          <w:rFonts w:ascii="Arial Narrow" w:hAnsi="Arial Narrow" w:cs="Arial"/>
          <w:b/>
          <w:sz w:val="24"/>
          <w:szCs w:val="24"/>
        </w:rPr>
        <w:t xml:space="preserve">, con vigencia a partir del </w:t>
      </w:r>
      <w:r w:rsidR="002273ED">
        <w:rPr>
          <w:rFonts w:ascii="Arial Narrow" w:hAnsi="Arial Narrow" w:cs="Arial"/>
          <w:b/>
          <w:sz w:val="24"/>
          <w:szCs w:val="24"/>
        </w:rPr>
        <w:t>1</w:t>
      </w:r>
      <w:r w:rsidRPr="002F20AF">
        <w:rPr>
          <w:rFonts w:ascii="Arial Narrow" w:hAnsi="Arial Narrow" w:cs="Arial"/>
          <w:b/>
          <w:sz w:val="24"/>
          <w:szCs w:val="24"/>
        </w:rPr>
        <w:t xml:space="preserve"> de </w:t>
      </w:r>
      <w:r w:rsidR="002273ED">
        <w:rPr>
          <w:rFonts w:ascii="Arial Narrow" w:hAnsi="Arial Narrow" w:cs="Arial"/>
          <w:b/>
          <w:sz w:val="24"/>
          <w:szCs w:val="24"/>
        </w:rPr>
        <w:t>febrero</w:t>
      </w:r>
      <w:r w:rsidRPr="002F20AF">
        <w:rPr>
          <w:rFonts w:ascii="Arial Narrow" w:hAnsi="Arial Narrow" w:cs="Arial"/>
          <w:b/>
          <w:sz w:val="24"/>
          <w:szCs w:val="24"/>
        </w:rPr>
        <w:t xml:space="preserve"> de 201</w:t>
      </w:r>
      <w:r w:rsidR="00D848D2">
        <w:rPr>
          <w:rFonts w:ascii="Arial Narrow" w:hAnsi="Arial Narrow" w:cs="Arial"/>
          <w:b/>
          <w:sz w:val="24"/>
          <w:szCs w:val="24"/>
        </w:rPr>
        <w:t>9</w:t>
      </w:r>
      <w:r w:rsidRPr="002F20AF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B4AA8" w:rsidRDefault="000B4AA8" w:rsidP="002F20AF">
      <w:pPr>
        <w:rPr>
          <w:rFonts w:ascii="Arial Narrow" w:hAnsi="Arial Narrow" w:cs="Arial"/>
          <w:sz w:val="24"/>
          <w:szCs w:val="24"/>
        </w:rPr>
      </w:pPr>
    </w:p>
    <w:p w:rsidR="00EC0907" w:rsidRDefault="00EC0907" w:rsidP="002F20AF">
      <w:pPr>
        <w:rPr>
          <w:rFonts w:ascii="Arial Narrow" w:hAnsi="Arial Narrow" w:cs="Arial"/>
          <w:sz w:val="24"/>
          <w:szCs w:val="24"/>
        </w:rPr>
      </w:pPr>
    </w:p>
    <w:p w:rsidR="002F20AF" w:rsidRPr="00E11DD3" w:rsidRDefault="002F20AF" w:rsidP="002F20AF">
      <w:pPr>
        <w:rPr>
          <w:rFonts w:ascii="Arial Narrow" w:hAnsi="Arial Narrow" w:cs="Arial"/>
          <w:sz w:val="24"/>
          <w:szCs w:val="24"/>
        </w:rPr>
        <w:sectPr w:rsidR="002F20AF" w:rsidRPr="00E11DD3" w:rsidSect="009A6ADD">
          <w:headerReference w:type="default" r:id="rId9"/>
          <w:footerReference w:type="default" r:id="rId10"/>
          <w:pgSz w:w="12240" w:h="15840"/>
          <w:pgMar w:top="1418" w:right="1701" w:bottom="1843" w:left="1701" w:header="709" w:footer="325" w:gutter="0"/>
          <w:cols w:space="708"/>
          <w:docGrid w:linePitch="360"/>
        </w:sectPr>
      </w:pPr>
    </w:p>
    <w:p w:rsidR="00D848D2" w:rsidRPr="00D848D2" w:rsidRDefault="00D848D2" w:rsidP="00D848D2">
      <w:pPr>
        <w:jc w:val="center"/>
        <w:rPr>
          <w:rFonts w:ascii="Arial Narrow" w:hAnsi="Arial Narrow" w:cstheme="minorHAnsi"/>
          <w:b/>
        </w:rPr>
      </w:pPr>
      <w:r w:rsidRPr="00D848D2">
        <w:rPr>
          <w:rFonts w:ascii="Arial Narrow" w:hAnsi="Arial Narrow" w:cstheme="minorHAnsi"/>
          <w:b/>
        </w:rPr>
        <w:lastRenderedPageBreak/>
        <w:t>ANEXO</w:t>
      </w:r>
      <w:r>
        <w:rPr>
          <w:rFonts w:ascii="Arial Narrow" w:hAnsi="Arial Narrow" w:cstheme="minorHAnsi"/>
          <w:b/>
        </w:rPr>
        <w:t xml:space="preserve"> </w:t>
      </w:r>
      <w:r w:rsidRPr="00D848D2">
        <w:rPr>
          <w:rFonts w:ascii="Arial Narrow" w:hAnsi="Arial Narrow" w:cs="Arial"/>
          <w:b/>
          <w:sz w:val="20"/>
          <w:szCs w:val="24"/>
        </w:rPr>
        <w:t>(1)</w:t>
      </w:r>
    </w:p>
    <w:p w:rsidR="00D848D2" w:rsidRPr="00604A1F" w:rsidRDefault="00D848D2" w:rsidP="00D848D2">
      <w:pPr>
        <w:jc w:val="center"/>
        <w:rPr>
          <w:rFonts w:ascii="Arial Narrow" w:hAnsi="Arial Narrow" w:cstheme="minorHAnsi"/>
        </w:rPr>
      </w:pPr>
      <w:r w:rsidRPr="00604A1F">
        <w:rPr>
          <w:rFonts w:ascii="Arial Narrow" w:hAnsi="Arial Narrow" w:cstheme="minorHAnsi"/>
        </w:rPr>
        <w:t>INFORMACIÓN DIARIA DE FORWARD DE MONEDA VIGENTES</w:t>
      </w:r>
    </w:p>
    <w:p w:rsidR="00D848D2" w:rsidRPr="00604A1F" w:rsidRDefault="00D848D2" w:rsidP="00D848D2">
      <w:pPr>
        <w:jc w:val="center"/>
        <w:rPr>
          <w:rFonts w:ascii="Arial Narrow" w:hAnsi="Arial Narrow" w:cstheme="minorHAnsi"/>
        </w:rPr>
      </w:pPr>
      <w:r w:rsidRPr="00604A1F">
        <w:rPr>
          <w:rFonts w:ascii="Arial Narrow" w:hAnsi="Arial Narrow" w:cstheme="minorHAnsi"/>
        </w:rPr>
        <w:t>Cobertura de US Dólar respecto a otras Monedas</w:t>
      </w:r>
    </w:p>
    <w:p w:rsidR="00D848D2" w:rsidRPr="00604A1F" w:rsidRDefault="00D848D2" w:rsidP="00D848D2">
      <w:pPr>
        <w:jc w:val="center"/>
        <w:rPr>
          <w:rFonts w:ascii="Arial Narrow" w:hAnsi="Arial Narrow" w:cstheme="minorHAnsi"/>
        </w:rPr>
      </w:pPr>
    </w:p>
    <w:p w:rsidR="00D848D2" w:rsidRPr="00604A1F" w:rsidRDefault="00D848D2" w:rsidP="00D848D2">
      <w:pPr>
        <w:jc w:val="center"/>
        <w:rPr>
          <w:rFonts w:ascii="Arial Narrow" w:hAnsi="Arial Narrow" w:cstheme="minorHAnsi"/>
        </w:rPr>
      </w:pPr>
    </w:p>
    <w:tbl>
      <w:tblPr>
        <w:tblStyle w:val="Tablaconcuadrcul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134"/>
        <w:gridCol w:w="2529"/>
      </w:tblGrid>
      <w:tr w:rsidR="00D848D2" w:rsidRPr="00604A1F" w:rsidTr="005E1360">
        <w:tc>
          <w:tcPr>
            <w:tcW w:w="959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  <w:r w:rsidRPr="00604A1F">
              <w:rPr>
                <w:rFonts w:ascii="Arial Narrow" w:hAnsi="Arial Narrow" w:cstheme="minorHAnsi"/>
              </w:rPr>
              <w:t>BANCO: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  <w:r w:rsidRPr="00604A1F">
              <w:rPr>
                <w:rFonts w:ascii="Arial Narrow" w:hAnsi="Arial Narrow" w:cstheme="minorHAnsi"/>
              </w:rPr>
              <w:t>C</w:t>
            </w:r>
            <w:r>
              <w:rPr>
                <w:rFonts w:ascii="Arial Narrow" w:hAnsi="Arial Narrow" w:cstheme="minorHAnsi"/>
              </w:rPr>
              <w:t>O</w:t>
            </w:r>
            <w:r w:rsidRPr="00604A1F">
              <w:rPr>
                <w:rFonts w:ascii="Arial Narrow" w:hAnsi="Arial Narrow" w:cstheme="minorHAnsi"/>
              </w:rPr>
              <w:t>DIGO: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</w:p>
        </w:tc>
      </w:tr>
      <w:tr w:rsidR="00D848D2" w:rsidRPr="00604A1F" w:rsidTr="005E1360">
        <w:tc>
          <w:tcPr>
            <w:tcW w:w="959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  <w:r w:rsidRPr="00604A1F">
              <w:rPr>
                <w:rFonts w:ascii="Arial Narrow" w:hAnsi="Arial Narrow" w:cstheme="minorHAnsi"/>
              </w:rPr>
              <w:t>FECHA:</w:t>
            </w:r>
          </w:p>
        </w:tc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</w:p>
        </w:tc>
      </w:tr>
    </w:tbl>
    <w:p w:rsidR="00D848D2" w:rsidRPr="00604A1F" w:rsidRDefault="00D848D2" w:rsidP="00D848D2">
      <w:pPr>
        <w:rPr>
          <w:rFonts w:ascii="Arial Narrow" w:hAnsi="Arial Narrow" w:cstheme="minorHAnsi"/>
        </w:rPr>
      </w:pPr>
    </w:p>
    <w:p w:rsidR="00D848D2" w:rsidRPr="00604A1F" w:rsidRDefault="00D848D2" w:rsidP="00D848D2">
      <w:pPr>
        <w:rPr>
          <w:rFonts w:ascii="Arial Narrow" w:hAnsi="Arial Narrow" w:cstheme="minorHAnsi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0"/>
        <w:gridCol w:w="830"/>
        <w:gridCol w:w="974"/>
        <w:gridCol w:w="850"/>
        <w:gridCol w:w="851"/>
        <w:gridCol w:w="992"/>
        <w:gridCol w:w="918"/>
        <w:gridCol w:w="860"/>
        <w:gridCol w:w="859"/>
        <w:gridCol w:w="1048"/>
        <w:gridCol w:w="851"/>
      </w:tblGrid>
      <w:tr w:rsidR="00D848D2" w:rsidRPr="00604A1F" w:rsidTr="005E1360">
        <w:trPr>
          <w:trHeight w:val="419"/>
        </w:trPr>
        <w:tc>
          <w:tcPr>
            <w:tcW w:w="890" w:type="dxa"/>
          </w:tcPr>
          <w:p w:rsidR="00D848D2" w:rsidRPr="00604A1F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604A1F">
              <w:rPr>
                <w:rFonts w:ascii="Arial Narrow" w:hAnsi="Arial Narrow" w:cstheme="minorHAnsi"/>
                <w:b/>
                <w:sz w:val="14"/>
              </w:rPr>
              <w:t>Número de Contrato Vigente</w:t>
            </w:r>
          </w:p>
        </w:tc>
        <w:tc>
          <w:tcPr>
            <w:tcW w:w="830" w:type="dxa"/>
          </w:tcPr>
          <w:p w:rsidR="00D848D2" w:rsidRPr="003E7595" w:rsidRDefault="00D848D2" w:rsidP="005E1360">
            <w:pPr>
              <w:jc w:val="center"/>
              <w:rPr>
                <w:rFonts w:ascii="Arial Narrow" w:hAnsi="Arial Narrow" w:cstheme="minorHAnsi"/>
                <w:b/>
                <w:sz w:val="13"/>
                <w:szCs w:val="13"/>
              </w:rPr>
            </w:pPr>
            <w:r w:rsidRPr="003E7595">
              <w:rPr>
                <w:rFonts w:ascii="Arial Narrow" w:hAnsi="Arial Narrow" w:cstheme="minorHAnsi"/>
                <w:b/>
                <w:sz w:val="13"/>
                <w:szCs w:val="13"/>
              </w:rPr>
              <w:t>Fecha de celebración contrato</w:t>
            </w:r>
          </w:p>
        </w:tc>
        <w:tc>
          <w:tcPr>
            <w:tcW w:w="974" w:type="dxa"/>
          </w:tcPr>
          <w:p w:rsidR="00D848D2" w:rsidRPr="003E7595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  <w:szCs w:val="14"/>
              </w:rPr>
            </w:pPr>
            <w:r w:rsidRPr="003E7595">
              <w:rPr>
                <w:rFonts w:ascii="Arial Narrow" w:hAnsi="Arial Narrow" w:cstheme="minorHAnsi"/>
                <w:b/>
                <w:sz w:val="14"/>
                <w:szCs w:val="14"/>
              </w:rPr>
              <w:t>Fecha de vencimiento</w:t>
            </w:r>
          </w:p>
          <w:p w:rsidR="00D848D2" w:rsidRPr="00604A1F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3E7595">
              <w:rPr>
                <w:rFonts w:ascii="Arial Narrow" w:hAnsi="Arial Narrow" w:cstheme="minorHAnsi"/>
                <w:b/>
                <w:sz w:val="14"/>
                <w:szCs w:val="14"/>
              </w:rPr>
              <w:t>contrato</w:t>
            </w:r>
          </w:p>
        </w:tc>
        <w:tc>
          <w:tcPr>
            <w:tcW w:w="850" w:type="dxa"/>
          </w:tcPr>
          <w:p w:rsidR="00D848D2" w:rsidRPr="00604A1F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604A1F">
              <w:rPr>
                <w:rFonts w:ascii="Arial Narrow" w:hAnsi="Arial Narrow" w:cstheme="minorHAnsi"/>
                <w:b/>
                <w:sz w:val="14"/>
              </w:rPr>
              <w:t>Monto de la cobertura</w:t>
            </w:r>
          </w:p>
        </w:tc>
        <w:tc>
          <w:tcPr>
            <w:tcW w:w="851" w:type="dxa"/>
          </w:tcPr>
          <w:p w:rsidR="00D848D2" w:rsidRPr="00604A1F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604A1F">
              <w:rPr>
                <w:rFonts w:ascii="Arial Narrow" w:hAnsi="Arial Narrow" w:cstheme="minorHAnsi"/>
                <w:b/>
                <w:sz w:val="14"/>
              </w:rPr>
              <w:t>Moneda de la cobertura</w:t>
            </w:r>
          </w:p>
        </w:tc>
        <w:tc>
          <w:tcPr>
            <w:tcW w:w="992" w:type="dxa"/>
          </w:tcPr>
          <w:p w:rsidR="00D848D2" w:rsidRPr="00D848D2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D848D2">
              <w:rPr>
                <w:rFonts w:ascii="Arial Narrow" w:hAnsi="Arial Narrow" w:cstheme="minorHAnsi"/>
                <w:b/>
                <w:sz w:val="14"/>
              </w:rPr>
              <w:t xml:space="preserve">Tipo de cambo del contrato </w:t>
            </w:r>
          </w:p>
          <w:p w:rsidR="00D848D2" w:rsidRPr="00D848D2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D848D2">
              <w:rPr>
                <w:rFonts w:ascii="Arial Narrow" w:hAnsi="Arial Narrow" w:cstheme="minorHAnsi"/>
                <w:b/>
                <w:sz w:val="14"/>
              </w:rPr>
              <w:t>(Forward)</w:t>
            </w:r>
          </w:p>
        </w:tc>
        <w:tc>
          <w:tcPr>
            <w:tcW w:w="918" w:type="dxa"/>
          </w:tcPr>
          <w:p w:rsidR="00D848D2" w:rsidRPr="00D848D2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D848D2">
              <w:rPr>
                <w:rFonts w:ascii="Arial Narrow" w:hAnsi="Arial Narrow" w:cstheme="minorHAnsi"/>
                <w:b/>
                <w:sz w:val="14"/>
              </w:rPr>
              <w:t xml:space="preserve">Tipo de cambio del día </w:t>
            </w:r>
          </w:p>
          <w:p w:rsidR="00D848D2" w:rsidRPr="00D848D2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</w:p>
        </w:tc>
        <w:tc>
          <w:tcPr>
            <w:tcW w:w="860" w:type="dxa"/>
          </w:tcPr>
          <w:p w:rsidR="00D848D2" w:rsidRPr="00604A1F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604A1F">
              <w:rPr>
                <w:rFonts w:ascii="Arial Narrow" w:hAnsi="Arial Narrow" w:cstheme="minorHAnsi"/>
                <w:b/>
                <w:sz w:val="14"/>
              </w:rPr>
              <w:t>Agente Comprador</w:t>
            </w:r>
          </w:p>
        </w:tc>
        <w:tc>
          <w:tcPr>
            <w:tcW w:w="859" w:type="dxa"/>
          </w:tcPr>
          <w:p w:rsidR="00D848D2" w:rsidRPr="00604A1F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604A1F">
              <w:rPr>
                <w:rFonts w:ascii="Arial Narrow" w:hAnsi="Arial Narrow" w:cstheme="minorHAnsi"/>
                <w:b/>
                <w:sz w:val="14"/>
              </w:rPr>
              <w:t>Agente Vendedor</w:t>
            </w:r>
          </w:p>
        </w:tc>
        <w:tc>
          <w:tcPr>
            <w:tcW w:w="1048" w:type="dxa"/>
          </w:tcPr>
          <w:p w:rsidR="00D848D2" w:rsidRPr="00604A1F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604A1F">
              <w:rPr>
                <w:rFonts w:ascii="Arial Narrow" w:hAnsi="Arial Narrow" w:cstheme="minorHAnsi"/>
                <w:b/>
                <w:sz w:val="14"/>
              </w:rPr>
              <w:t>Metodología de valoración</w:t>
            </w:r>
          </w:p>
        </w:tc>
        <w:tc>
          <w:tcPr>
            <w:tcW w:w="851" w:type="dxa"/>
          </w:tcPr>
          <w:p w:rsidR="00D848D2" w:rsidRPr="00604A1F" w:rsidRDefault="00D848D2" w:rsidP="005E1360">
            <w:pPr>
              <w:jc w:val="center"/>
              <w:rPr>
                <w:rFonts w:ascii="Arial Narrow" w:hAnsi="Arial Narrow" w:cstheme="minorHAnsi"/>
                <w:b/>
                <w:sz w:val="14"/>
              </w:rPr>
            </w:pPr>
            <w:r w:rsidRPr="00604A1F">
              <w:rPr>
                <w:rFonts w:ascii="Arial Narrow" w:hAnsi="Arial Narrow" w:cstheme="minorHAnsi"/>
                <w:b/>
                <w:sz w:val="14"/>
              </w:rPr>
              <w:t>Valoración</w:t>
            </w:r>
          </w:p>
        </w:tc>
      </w:tr>
      <w:tr w:rsidR="00D848D2" w:rsidRPr="00604A1F" w:rsidTr="005E1360">
        <w:trPr>
          <w:trHeight w:val="294"/>
        </w:trPr>
        <w:tc>
          <w:tcPr>
            <w:tcW w:w="89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  <w:r w:rsidRPr="00604A1F">
              <w:rPr>
                <w:rFonts w:ascii="Arial Narrow" w:hAnsi="Arial Narrow" w:cstheme="minorHAnsi"/>
                <w:sz w:val="14"/>
              </w:rPr>
              <w:t>Contrato 1</w:t>
            </w:r>
          </w:p>
        </w:tc>
        <w:tc>
          <w:tcPr>
            <w:tcW w:w="83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74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1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92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18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6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9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1048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1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</w:tr>
      <w:tr w:rsidR="00D848D2" w:rsidRPr="00604A1F" w:rsidTr="005E1360">
        <w:trPr>
          <w:trHeight w:val="294"/>
        </w:trPr>
        <w:tc>
          <w:tcPr>
            <w:tcW w:w="89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  <w:r w:rsidRPr="00604A1F">
              <w:rPr>
                <w:rFonts w:ascii="Arial Narrow" w:hAnsi="Arial Narrow" w:cstheme="minorHAnsi"/>
                <w:sz w:val="14"/>
              </w:rPr>
              <w:t>Contrato 2</w:t>
            </w:r>
          </w:p>
        </w:tc>
        <w:tc>
          <w:tcPr>
            <w:tcW w:w="83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74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1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92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18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6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9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1048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1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</w:tr>
      <w:tr w:rsidR="00D848D2" w:rsidRPr="00604A1F" w:rsidTr="005E1360">
        <w:trPr>
          <w:trHeight w:val="294"/>
        </w:trPr>
        <w:tc>
          <w:tcPr>
            <w:tcW w:w="89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  <w:r w:rsidRPr="00604A1F">
              <w:rPr>
                <w:rFonts w:ascii="Arial Narrow" w:hAnsi="Arial Narrow" w:cstheme="minorHAnsi"/>
                <w:sz w:val="14"/>
              </w:rPr>
              <w:t>Contrato 3</w:t>
            </w:r>
          </w:p>
        </w:tc>
        <w:tc>
          <w:tcPr>
            <w:tcW w:w="83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74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1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92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18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6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9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1048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1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</w:tr>
      <w:tr w:rsidR="00D848D2" w:rsidRPr="00604A1F" w:rsidTr="005E1360">
        <w:trPr>
          <w:trHeight w:val="294"/>
        </w:trPr>
        <w:tc>
          <w:tcPr>
            <w:tcW w:w="89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  <w:r w:rsidRPr="00604A1F">
              <w:rPr>
                <w:rFonts w:ascii="Arial Narrow" w:hAnsi="Arial Narrow" w:cstheme="minorHAnsi"/>
                <w:sz w:val="14"/>
              </w:rPr>
              <w:t>….</w:t>
            </w:r>
          </w:p>
        </w:tc>
        <w:tc>
          <w:tcPr>
            <w:tcW w:w="83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74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1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92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18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6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9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1048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1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</w:tr>
      <w:tr w:rsidR="00D848D2" w:rsidRPr="00604A1F" w:rsidTr="005E1360">
        <w:trPr>
          <w:trHeight w:val="294"/>
        </w:trPr>
        <w:tc>
          <w:tcPr>
            <w:tcW w:w="89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  <w:r w:rsidRPr="00604A1F">
              <w:rPr>
                <w:rFonts w:ascii="Arial Narrow" w:hAnsi="Arial Narrow" w:cstheme="minorHAnsi"/>
                <w:sz w:val="14"/>
              </w:rPr>
              <w:t>Contrato n</w:t>
            </w:r>
          </w:p>
        </w:tc>
        <w:tc>
          <w:tcPr>
            <w:tcW w:w="83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74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1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92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918" w:type="dxa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60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9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1048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  <w:tc>
          <w:tcPr>
            <w:tcW w:w="851" w:type="dxa"/>
            <w:vAlign w:val="center"/>
          </w:tcPr>
          <w:p w:rsidR="00D848D2" w:rsidRPr="00604A1F" w:rsidRDefault="00D848D2" w:rsidP="005E1360">
            <w:pPr>
              <w:rPr>
                <w:rFonts w:ascii="Arial Narrow" w:hAnsi="Arial Narrow" w:cstheme="minorHAnsi"/>
                <w:sz w:val="14"/>
              </w:rPr>
            </w:pPr>
          </w:p>
        </w:tc>
      </w:tr>
    </w:tbl>
    <w:p w:rsidR="00D848D2" w:rsidRPr="00604A1F" w:rsidRDefault="00D848D2" w:rsidP="00D848D2">
      <w:pPr>
        <w:ind w:left="360"/>
        <w:rPr>
          <w:rFonts w:ascii="Arial Narrow" w:hAnsi="Arial Narrow"/>
        </w:rPr>
      </w:pPr>
    </w:p>
    <w:p w:rsidR="00D848D2" w:rsidRPr="00604A1F" w:rsidRDefault="00D848D2" w:rsidP="00D848D2">
      <w:pPr>
        <w:ind w:left="360"/>
        <w:rPr>
          <w:rFonts w:ascii="Arial Narrow" w:hAnsi="Arial Narrow"/>
        </w:rPr>
      </w:pPr>
    </w:p>
    <w:p w:rsidR="00D848D2" w:rsidRPr="00604A1F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color w:val="000000" w:themeColor="text1"/>
          <w:sz w:val="18"/>
          <w:lang w:val="es-MX"/>
        </w:rPr>
      </w:pPr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 xml:space="preserve">Número de contrato vigente: el número asignado al contrato por la entidad </w:t>
      </w:r>
      <w:proofErr w:type="spellStart"/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>reportante</w:t>
      </w:r>
      <w:proofErr w:type="spellEnd"/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>.</w:t>
      </w:r>
    </w:p>
    <w:p w:rsidR="00D848D2" w:rsidRPr="00604A1F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color w:val="000000" w:themeColor="text1"/>
          <w:sz w:val="18"/>
          <w:lang w:val="es-MX"/>
        </w:rPr>
      </w:pPr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>Fecha de celebración contrato: la fecha de celebración del contrato, bajo el formato DDMMAAAA.</w:t>
      </w:r>
    </w:p>
    <w:p w:rsidR="00D848D2" w:rsidRPr="00604A1F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color w:val="000000" w:themeColor="text1"/>
          <w:sz w:val="18"/>
          <w:lang w:val="es-MX"/>
        </w:rPr>
      </w:pPr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>Fecha vencimiento  contrato: la fecha de vencimiento del contrato, bajo el formato DDMMAAAA.</w:t>
      </w:r>
    </w:p>
    <w:p w:rsidR="00D848D2" w:rsidRPr="00604A1F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color w:val="000000" w:themeColor="text1"/>
          <w:sz w:val="18"/>
          <w:lang w:val="es-MX"/>
        </w:rPr>
      </w:pPr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>Monto de la cobertura: valor nominal de la contratación.</w:t>
      </w:r>
    </w:p>
    <w:p w:rsidR="00D848D2" w:rsidRPr="00604A1F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color w:val="000000" w:themeColor="text1"/>
          <w:sz w:val="18"/>
          <w:lang w:val="es-MX"/>
        </w:rPr>
      </w:pPr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 xml:space="preserve">Moneda de la cobertura: US$ Dólar de los Estados Unidos de América respecto a la moneda X. Se sugiere utilizar </w:t>
      </w:r>
    </w:p>
    <w:p w:rsidR="00D848D2" w:rsidRPr="00227865" w:rsidRDefault="00D848D2" w:rsidP="00D848D2">
      <w:pPr>
        <w:pStyle w:val="Prrafodelista"/>
        <w:ind w:left="360"/>
        <w:jc w:val="both"/>
        <w:rPr>
          <w:rFonts w:ascii="Arial Narrow" w:hAnsi="Arial Narrow" w:cstheme="minorHAnsi"/>
          <w:b/>
          <w:color w:val="000000" w:themeColor="text1"/>
          <w:sz w:val="18"/>
          <w:lang w:val="es-MX"/>
        </w:rPr>
      </w:pPr>
      <w:proofErr w:type="gramStart"/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>la</w:t>
      </w:r>
      <w:proofErr w:type="gramEnd"/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 xml:space="preserve"> nomenclatura del estándar internacional ISO 4217.</w:t>
      </w:r>
    </w:p>
    <w:p w:rsidR="00D848D2" w:rsidRPr="00D848D2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sz w:val="18"/>
          <w:lang w:val="es-MX"/>
        </w:rPr>
      </w:pPr>
      <w:r w:rsidRPr="00D848D2">
        <w:rPr>
          <w:rFonts w:ascii="Arial Narrow" w:hAnsi="Arial Narrow" w:cstheme="minorHAnsi"/>
          <w:sz w:val="18"/>
          <w:lang w:val="es-MX"/>
        </w:rPr>
        <w:t xml:space="preserve">Tipo de cambo del contrato (Forward): Tasa de cambio (de conversión de divisa) de la operación forward de acuerdo a contrato. </w:t>
      </w:r>
    </w:p>
    <w:p w:rsidR="00D848D2" w:rsidRPr="00D848D2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sz w:val="18"/>
          <w:lang w:val="es-MX"/>
        </w:rPr>
      </w:pPr>
      <w:r w:rsidRPr="00D848D2">
        <w:rPr>
          <w:rFonts w:ascii="Arial Narrow" w:hAnsi="Arial Narrow" w:cstheme="minorHAnsi"/>
          <w:sz w:val="18"/>
          <w:lang w:val="es-MX"/>
        </w:rPr>
        <w:t>Tipo de cambio del día: Tasa de cambio (de conversión de divisa) utilizada para el cálculo de la valoración.</w:t>
      </w:r>
    </w:p>
    <w:p w:rsidR="00D848D2" w:rsidRPr="00604A1F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color w:val="000000" w:themeColor="text1"/>
          <w:sz w:val="18"/>
          <w:lang w:val="es-MX"/>
        </w:rPr>
      </w:pPr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>Agente Comprador: Nombre de Persona Natural o Jurídica interesada en comprar la moneda X.</w:t>
      </w:r>
    </w:p>
    <w:p w:rsidR="00D848D2" w:rsidRPr="00604A1F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color w:val="000000" w:themeColor="text1"/>
          <w:sz w:val="18"/>
          <w:lang w:val="es-MX"/>
        </w:rPr>
      </w:pPr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>Agente Vendedor: Nombre de Persona Natural o Jurídica interesada en vender la moneda X.</w:t>
      </w:r>
    </w:p>
    <w:p w:rsidR="00D848D2" w:rsidRPr="00604A1F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color w:val="000000" w:themeColor="text1"/>
          <w:sz w:val="18"/>
          <w:lang w:val="es-MX"/>
        </w:rPr>
      </w:pPr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>Metodología de valoración: digitar 1 si la metodología de valoración es vigente y digitar 2 si la metodología de valoración ha cambiado y a partir de qué fecha es vigente.</w:t>
      </w:r>
    </w:p>
    <w:p w:rsidR="00D848D2" w:rsidRPr="00604A1F" w:rsidRDefault="00D848D2" w:rsidP="00D848D2">
      <w:pPr>
        <w:pStyle w:val="Prrafodelista"/>
        <w:numPr>
          <w:ilvl w:val="0"/>
          <w:numId w:val="19"/>
        </w:numPr>
        <w:jc w:val="both"/>
        <w:rPr>
          <w:rFonts w:ascii="Arial Narrow" w:hAnsi="Arial Narrow" w:cstheme="minorHAnsi"/>
          <w:color w:val="000000" w:themeColor="text1"/>
          <w:sz w:val="18"/>
          <w:lang w:val="es-MX"/>
        </w:rPr>
      </w:pPr>
      <w:r w:rsidRPr="00604A1F">
        <w:rPr>
          <w:rFonts w:ascii="Arial Narrow" w:hAnsi="Arial Narrow" w:cstheme="minorHAnsi"/>
          <w:color w:val="000000" w:themeColor="text1"/>
          <w:sz w:val="18"/>
          <w:lang w:val="es-MX"/>
        </w:rPr>
        <w:t>Valoración: Valor del instrumento al cierre de este día en base a la metodología del Banco.</w:t>
      </w:r>
    </w:p>
    <w:p w:rsidR="00D848D2" w:rsidRPr="00604A1F" w:rsidRDefault="00D848D2" w:rsidP="00D848D2">
      <w:pPr>
        <w:rPr>
          <w:rFonts w:ascii="Arial Narrow" w:hAnsi="Arial Narrow" w:cstheme="minorHAnsi"/>
        </w:rPr>
      </w:pPr>
    </w:p>
    <w:p w:rsidR="00D848D2" w:rsidRPr="00604A1F" w:rsidRDefault="00D848D2" w:rsidP="00D848D2">
      <w:pPr>
        <w:rPr>
          <w:rFonts w:ascii="Arial Narrow" w:hAnsi="Arial Narrow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</w:tblGrid>
      <w:tr w:rsidR="00D848D2" w:rsidRPr="00604A1F" w:rsidTr="005E1360">
        <w:trPr>
          <w:trHeight w:val="284"/>
        </w:trPr>
        <w:tc>
          <w:tcPr>
            <w:tcW w:w="2376" w:type="dxa"/>
            <w:vAlign w:val="bottom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  <w:r w:rsidRPr="00604A1F">
              <w:rPr>
                <w:rFonts w:ascii="Arial Narrow" w:hAnsi="Arial Narrow" w:cstheme="minorHAnsi"/>
              </w:rPr>
              <w:t>Contacto: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bottom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</w:p>
        </w:tc>
      </w:tr>
      <w:tr w:rsidR="00D848D2" w:rsidRPr="00604A1F" w:rsidTr="005E1360">
        <w:trPr>
          <w:trHeight w:val="284"/>
        </w:trPr>
        <w:tc>
          <w:tcPr>
            <w:tcW w:w="2376" w:type="dxa"/>
            <w:vAlign w:val="bottom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  <w:r w:rsidRPr="00604A1F">
              <w:rPr>
                <w:rFonts w:ascii="Arial Narrow" w:hAnsi="Arial Narrow" w:cstheme="minorHAnsi"/>
              </w:rPr>
              <w:t>Correo electrónico: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</w:p>
        </w:tc>
      </w:tr>
      <w:tr w:rsidR="00D848D2" w:rsidRPr="00604A1F" w:rsidTr="005E1360">
        <w:trPr>
          <w:trHeight w:val="284"/>
        </w:trPr>
        <w:tc>
          <w:tcPr>
            <w:tcW w:w="2376" w:type="dxa"/>
            <w:vAlign w:val="bottom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  <w:r w:rsidRPr="00604A1F">
              <w:rPr>
                <w:rFonts w:ascii="Arial Narrow" w:hAnsi="Arial Narrow" w:cstheme="minorHAnsi"/>
              </w:rPr>
              <w:t>Departamento: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</w:p>
        </w:tc>
      </w:tr>
      <w:tr w:rsidR="00D848D2" w:rsidRPr="00604A1F" w:rsidTr="005E1360">
        <w:trPr>
          <w:trHeight w:val="284"/>
        </w:trPr>
        <w:tc>
          <w:tcPr>
            <w:tcW w:w="2376" w:type="dxa"/>
            <w:vAlign w:val="bottom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  <w:r w:rsidRPr="00604A1F">
              <w:rPr>
                <w:rFonts w:ascii="Arial Narrow" w:hAnsi="Arial Narrow" w:cstheme="minorHAnsi"/>
              </w:rPr>
              <w:t>Número de Teléfono: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848D2" w:rsidRPr="00604A1F" w:rsidRDefault="00D848D2" w:rsidP="005E1360">
            <w:pPr>
              <w:rPr>
                <w:rFonts w:ascii="Arial Narrow" w:hAnsi="Arial Narrow" w:cstheme="minorHAnsi"/>
              </w:rPr>
            </w:pPr>
          </w:p>
        </w:tc>
      </w:tr>
    </w:tbl>
    <w:p w:rsidR="00D848D2" w:rsidRPr="00604A1F" w:rsidRDefault="00D848D2" w:rsidP="00D848D2">
      <w:pPr>
        <w:rPr>
          <w:rFonts w:ascii="Arial Narrow" w:hAnsi="Arial Narrow" w:cstheme="minorHAnsi"/>
        </w:rPr>
      </w:pPr>
    </w:p>
    <w:p w:rsidR="00D848D2" w:rsidRPr="00604A1F" w:rsidRDefault="00D848D2" w:rsidP="00D848D2">
      <w:pPr>
        <w:tabs>
          <w:tab w:val="left" w:pos="0"/>
          <w:tab w:val="left" w:pos="142"/>
          <w:tab w:val="left" w:pos="709"/>
        </w:tabs>
        <w:spacing w:line="360" w:lineRule="auto"/>
        <w:ind w:left="142"/>
        <w:jc w:val="both"/>
        <w:rPr>
          <w:rFonts w:ascii="Arial Narrow" w:hAnsi="Arial Narrow" w:cstheme="minorHAnsi"/>
        </w:rPr>
      </w:pPr>
    </w:p>
    <w:p w:rsidR="00D848D2" w:rsidRPr="00604A1F" w:rsidRDefault="00D848D2" w:rsidP="00D848D2">
      <w:pPr>
        <w:spacing w:after="120"/>
        <w:jc w:val="both"/>
        <w:rPr>
          <w:rFonts w:ascii="Arial Narrow" w:eastAsia="Arial Unicode MS" w:hAnsi="Arial Narrow" w:cstheme="minorHAnsi"/>
          <w:lang w:eastAsia="es-SV"/>
        </w:rPr>
      </w:pPr>
      <w:r w:rsidRPr="00604A1F">
        <w:rPr>
          <w:rFonts w:ascii="Arial Narrow" w:eastAsia="Arial Unicode MS" w:hAnsi="Arial Narrow" w:cstheme="minorHAnsi"/>
          <w:lang w:eastAsia="es-SV"/>
        </w:rPr>
        <w:t xml:space="preserve">Remitir esta información </w:t>
      </w:r>
      <w:r w:rsidRPr="00D848D2">
        <w:rPr>
          <w:rFonts w:ascii="Arial Narrow" w:eastAsia="Arial Unicode MS" w:hAnsi="Arial Narrow" w:cstheme="minorHAnsi"/>
          <w:lang w:eastAsia="es-SV"/>
        </w:rPr>
        <w:t xml:space="preserve">en formato Excel </w:t>
      </w:r>
      <w:r w:rsidRPr="00604A1F">
        <w:rPr>
          <w:rFonts w:ascii="Arial Narrow" w:eastAsia="Arial Unicode MS" w:hAnsi="Arial Narrow" w:cstheme="minorHAnsi"/>
          <w:lang w:eastAsia="es-SV"/>
        </w:rPr>
        <w:t xml:space="preserve">al Departamento de Estabilidad del Sistema Financiero del BCR, al correo electrónico </w:t>
      </w:r>
      <w:hyperlink r:id="rId11" w:history="1">
        <w:r w:rsidRPr="00604A1F">
          <w:rPr>
            <w:rStyle w:val="Hipervnculo"/>
            <w:rFonts w:ascii="Arial Narrow" w:eastAsia="Arial Unicode MS" w:hAnsi="Arial Narrow" w:cstheme="minorHAnsi"/>
            <w:lang w:eastAsia="es-SV"/>
          </w:rPr>
          <w:t>info.mercados@bcr.gob.sv</w:t>
        </w:r>
      </w:hyperlink>
      <w:r w:rsidRPr="00604A1F">
        <w:rPr>
          <w:rFonts w:ascii="Arial Narrow" w:eastAsia="Arial Unicode MS" w:hAnsi="Arial Narrow" w:cstheme="minorHAnsi"/>
          <w:lang w:eastAsia="es-SV"/>
        </w:rPr>
        <w:t xml:space="preserve">  ; y a la Central de Información  de la SSF, al correo electrónico </w:t>
      </w:r>
      <w:hyperlink r:id="rId12" w:history="1">
        <w:r w:rsidRPr="00604A1F">
          <w:rPr>
            <w:rStyle w:val="Hipervnculo"/>
            <w:rFonts w:ascii="Arial Narrow" w:eastAsia="Arial Unicode MS" w:hAnsi="Arial Narrow" w:cstheme="minorHAnsi"/>
            <w:lang w:eastAsia="es-SV"/>
          </w:rPr>
          <w:t>centralinfo@ssf.gob.sv</w:t>
        </w:r>
      </w:hyperlink>
      <w:r w:rsidRPr="00604A1F">
        <w:rPr>
          <w:rFonts w:ascii="Arial Narrow" w:eastAsia="Arial Unicode MS" w:hAnsi="Arial Narrow" w:cstheme="minorHAnsi"/>
          <w:lang w:eastAsia="es-SV"/>
        </w:rPr>
        <w:t xml:space="preserve">  </w:t>
      </w:r>
    </w:p>
    <w:p w:rsidR="00CB56FF" w:rsidRPr="00E11DD3" w:rsidRDefault="00CB56FF" w:rsidP="00C4092E">
      <w:pPr>
        <w:rPr>
          <w:rFonts w:ascii="Arial Narrow" w:hAnsi="Arial Narrow" w:cs="Arial"/>
          <w:b/>
          <w:szCs w:val="24"/>
        </w:rPr>
      </w:pPr>
    </w:p>
    <w:sectPr w:rsidR="00CB56FF" w:rsidRPr="00E11DD3" w:rsidSect="000751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32" w:rsidRDefault="002F1B32" w:rsidP="00B12786">
      <w:r>
        <w:separator/>
      </w:r>
    </w:p>
  </w:endnote>
  <w:endnote w:type="continuationSeparator" w:id="0">
    <w:p w:rsidR="002F1B32" w:rsidRDefault="002F1B32" w:rsidP="00B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34" w:type="dxa"/>
      <w:tblInd w:w="972" w:type="dxa"/>
      <w:tblBorders>
        <w:top w:val="triple" w:sz="4" w:space="0" w:color="auto"/>
        <w:left w:val="triple" w:sz="4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91"/>
      <w:gridCol w:w="1843"/>
    </w:tblGrid>
    <w:tr w:rsidR="00FB6F84" w:rsidTr="009A6ADD">
      <w:trPr>
        <w:trHeight w:val="946"/>
      </w:trPr>
      <w:tc>
        <w:tcPr>
          <w:tcW w:w="6791" w:type="dxa"/>
          <w:tcBorders>
            <w:top w:val="triple" w:sz="4" w:space="0" w:color="auto"/>
            <w:left w:val="nil"/>
            <w:right w:val="nil"/>
          </w:tcBorders>
          <w:shd w:val="clear" w:color="auto" w:fill="auto"/>
        </w:tcPr>
        <w:p w:rsidR="00FB6F84" w:rsidRDefault="00FB6F84" w:rsidP="009A6ADD">
          <w:pPr>
            <w:pStyle w:val="Piedepgina"/>
            <w:tabs>
              <w:tab w:val="clear" w:pos="8838"/>
              <w:tab w:val="right" w:pos="8384"/>
            </w:tabs>
            <w:jc w:val="center"/>
            <w:rPr>
              <w:rFonts w:ascii="Arial Narrow" w:hAnsi="Arial Narrow"/>
              <w:sz w:val="20"/>
              <w:szCs w:val="20"/>
              <w:lang w:val="es-ES"/>
            </w:rPr>
          </w:pPr>
          <w:r w:rsidRPr="008B7E89">
            <w:rPr>
              <w:rFonts w:ascii="Arial Narrow" w:hAnsi="Arial Narrow"/>
              <w:sz w:val="20"/>
              <w:szCs w:val="20"/>
              <w:lang w:val="es-ES"/>
            </w:rPr>
            <w:t xml:space="preserve">Alameda Juan Pablo II, entre 15 y 17 </w:t>
          </w:r>
          <w:r>
            <w:rPr>
              <w:rFonts w:ascii="Arial Narrow" w:hAnsi="Arial Narrow"/>
              <w:sz w:val="20"/>
              <w:szCs w:val="20"/>
              <w:lang w:val="es-ES"/>
            </w:rPr>
            <w:t>Av. Norte</w:t>
          </w:r>
          <w:r w:rsidRPr="008B7E89">
            <w:rPr>
              <w:rFonts w:ascii="Arial Narrow" w:hAnsi="Arial Narrow"/>
              <w:sz w:val="20"/>
              <w:szCs w:val="20"/>
              <w:lang w:val="es-ES"/>
            </w:rPr>
            <w:t>, San Salvador, El Salvador.</w:t>
          </w:r>
        </w:p>
        <w:p w:rsidR="00FB6F84" w:rsidRDefault="00FB6F84" w:rsidP="00075110">
          <w:pPr>
            <w:pStyle w:val="Piedepgina"/>
            <w:jc w:val="center"/>
            <w:rPr>
              <w:rFonts w:ascii="Arial Narrow" w:hAnsi="Arial Narrow"/>
              <w:sz w:val="20"/>
              <w:szCs w:val="20"/>
              <w:lang w:val="en-US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Tel</w:t>
          </w:r>
          <w:r w:rsidRPr="008B7E89">
            <w:rPr>
              <w:rFonts w:ascii="Arial Narrow" w:hAnsi="Arial Narrow"/>
              <w:sz w:val="20"/>
              <w:szCs w:val="20"/>
              <w:lang w:val="en-US"/>
            </w:rPr>
            <w:t>. (503) 2281-8000</w:t>
          </w:r>
        </w:p>
        <w:p w:rsidR="00FB6F84" w:rsidRPr="009A6ADD" w:rsidRDefault="00FB6F84" w:rsidP="009A6ADD">
          <w:pPr>
            <w:pStyle w:val="Piedepgina"/>
            <w:jc w:val="center"/>
            <w:rPr>
              <w:rFonts w:ascii="Arial Narrow" w:hAnsi="Arial Narrow"/>
              <w:sz w:val="20"/>
              <w:szCs w:val="20"/>
              <w:lang w:val="en-US"/>
            </w:rPr>
          </w:pPr>
          <w:r w:rsidRPr="008B7E89">
            <w:rPr>
              <w:rFonts w:ascii="Arial Narrow" w:hAnsi="Arial Narrow"/>
              <w:sz w:val="20"/>
              <w:szCs w:val="20"/>
              <w:lang w:val="en-US"/>
            </w:rPr>
            <w:t>www.bcr.gob.sv</w:t>
          </w:r>
        </w:p>
      </w:tc>
      <w:tc>
        <w:tcPr>
          <w:tcW w:w="1843" w:type="dxa"/>
          <w:tcBorders>
            <w:top w:val="triple" w:sz="4" w:space="0" w:color="auto"/>
            <w:left w:val="nil"/>
          </w:tcBorders>
          <w:shd w:val="clear" w:color="auto" w:fill="auto"/>
        </w:tcPr>
        <w:p w:rsidR="00FB6F84" w:rsidRDefault="00AF6DB6" w:rsidP="00075110">
          <w:pPr>
            <w:pStyle w:val="Encabezado"/>
            <w:tabs>
              <w:tab w:val="right" w:pos="15026"/>
            </w:tabs>
            <w:ind w:left="727" w:right="-93" w:hanging="727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  <w:szCs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69215</wp:posOffset>
                    </wp:positionH>
                    <wp:positionV relativeFrom="paragraph">
                      <wp:posOffset>99060</wp:posOffset>
                    </wp:positionV>
                    <wp:extent cx="958215" cy="266700"/>
                    <wp:effectExtent l="2540" t="3810" r="1270" b="0"/>
                    <wp:wrapNone/>
                    <wp:docPr id="3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21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6F84" w:rsidRPr="000A65EE" w:rsidRDefault="00FB6F84" w:rsidP="00075110">
                                <w:r w:rsidRPr="000A65EE">
                                  <w:rPr>
                                    <w:rFonts w:ascii="Arial Narrow" w:hAnsi="Arial Narrow" w:cstheme="minorHAnsi"/>
                                    <w:sz w:val="20"/>
                                    <w:szCs w:val="20"/>
                                    <w:lang w:val="es-MX"/>
                                  </w:rPr>
                                  <w:t xml:space="preserve">Página </w:t>
                                </w:r>
                                <w:r w:rsidRPr="008B7E8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8B7E8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instrText>PAGE</w:instrText>
                                </w:r>
                                <w:r w:rsidRPr="008B7E8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C313EB">
                                  <w:rPr>
                                    <w:rFonts w:ascii="Arial Narrow" w:hAnsi="Arial Narrow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B7E8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8B7E8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de</w:t>
                                </w:r>
                                <w:r w:rsidRPr="000A65E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B7E8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8B7E8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instrText>NUMPAGES</w:instrText>
                                </w:r>
                                <w:r w:rsidRPr="008B7E8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C313EB">
                                  <w:rPr>
                                    <w:rFonts w:ascii="Arial Narrow" w:hAnsi="Arial Narrow"/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8B7E8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5.45pt;margin-top:7.8pt;width:75.4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jAtA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" filled="f" stroked="f">
                    <v:textbox>
                      <w:txbxContent>
                        <w:p w:rsidR="00FB6F84" w:rsidRPr="000A65EE" w:rsidRDefault="00FB6F84" w:rsidP="00075110">
                          <w:r w:rsidRPr="000A65EE">
                            <w:rPr>
                              <w:rFonts w:ascii="Arial Narrow" w:hAnsi="Arial Narrow" w:cstheme="minorHAnsi"/>
                              <w:sz w:val="20"/>
                              <w:szCs w:val="20"/>
                              <w:lang w:val="es-MX"/>
                            </w:rPr>
                            <w:t xml:space="preserve">Página </w:t>
                          </w:r>
                          <w:r w:rsidRPr="008B7E8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B7E8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</w:instrText>
                          </w:r>
                          <w:r w:rsidRPr="008B7E8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13EB">
                            <w:rPr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8B7E8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  <w:r w:rsidRPr="008B7E8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de</w:t>
                          </w:r>
                          <w:r w:rsidRPr="000A65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B7E8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B7E8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NUMPAGES</w:instrText>
                          </w:r>
                          <w:r w:rsidRPr="008B7E8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13EB">
                            <w:rPr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8B7E8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B6F84" w:rsidRDefault="00FB6F84" w:rsidP="00075110">
    <w:pPr>
      <w:pStyle w:val="Piedepgina"/>
      <w:rPr>
        <w:rFonts w:ascii="Arial Narrow" w:hAnsi="Arial Narrow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32" w:rsidRDefault="002F1B32" w:rsidP="00B12786">
      <w:r>
        <w:separator/>
      </w:r>
    </w:p>
  </w:footnote>
  <w:footnote w:type="continuationSeparator" w:id="0">
    <w:p w:rsidR="002F1B32" w:rsidRDefault="002F1B32" w:rsidP="00B1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1026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662"/>
      <w:gridCol w:w="1843"/>
    </w:tblGrid>
    <w:tr w:rsidR="00FB6F84" w:rsidTr="00333B12">
      <w:trPr>
        <w:trHeight w:val="432"/>
      </w:trPr>
      <w:tc>
        <w:tcPr>
          <w:tcW w:w="2127" w:type="dxa"/>
          <w:shd w:val="clear" w:color="auto" w:fill="auto"/>
          <w:vAlign w:val="center"/>
        </w:tcPr>
        <w:p w:rsidR="00FB6F84" w:rsidRDefault="00FB6F84" w:rsidP="002273ED">
          <w:pPr>
            <w:pStyle w:val="Encabezado"/>
            <w:tabs>
              <w:tab w:val="clear" w:pos="8838"/>
              <w:tab w:val="right" w:pos="8681"/>
            </w:tabs>
            <w:ind w:left="33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CD - </w:t>
          </w:r>
          <w:r w:rsidR="002273ED">
            <w:rPr>
              <w:rFonts w:ascii="Arial Narrow" w:hAnsi="Arial Narrow"/>
              <w:sz w:val="20"/>
            </w:rPr>
            <w:t>4</w:t>
          </w:r>
          <w:r>
            <w:rPr>
              <w:rFonts w:ascii="Arial Narrow" w:hAnsi="Arial Narrow"/>
              <w:sz w:val="20"/>
            </w:rPr>
            <w:t>1/201</w:t>
          </w:r>
          <w:r w:rsidR="002273ED">
            <w:rPr>
              <w:rFonts w:ascii="Arial Narrow" w:hAnsi="Arial Narrow"/>
              <w:sz w:val="20"/>
            </w:rPr>
            <w:t>2</w:t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1D5A19" w:rsidRPr="008E4503" w:rsidRDefault="001D5A19" w:rsidP="001D5A19">
          <w:pPr>
            <w:tabs>
              <w:tab w:val="left" w:pos="0"/>
              <w:tab w:val="left" w:pos="142"/>
              <w:tab w:val="left" w:pos="709"/>
            </w:tabs>
            <w:jc w:val="center"/>
            <w:rPr>
              <w:rFonts w:ascii="Arial Narrow" w:hAnsi="Arial Narrow"/>
              <w:b/>
              <w:sz w:val="24"/>
            </w:rPr>
          </w:pPr>
          <w:r w:rsidRPr="008E4503">
            <w:rPr>
              <w:rFonts w:ascii="Arial Narrow" w:hAnsi="Arial Narrow"/>
              <w:b/>
              <w:sz w:val="24"/>
            </w:rPr>
            <w:t xml:space="preserve">LINEAMIENTOS MÍNIMOS PARA OPERACIONES CON </w:t>
          </w:r>
          <w:r>
            <w:rPr>
              <w:rFonts w:ascii="Arial Narrow" w:hAnsi="Arial Narrow"/>
              <w:b/>
              <w:sz w:val="24"/>
            </w:rPr>
            <w:t xml:space="preserve">EL </w:t>
          </w:r>
          <w:r w:rsidRPr="008E4503">
            <w:rPr>
              <w:rFonts w:ascii="Arial Narrow" w:hAnsi="Arial Narrow"/>
              <w:b/>
              <w:sz w:val="24"/>
            </w:rPr>
            <w:t xml:space="preserve">INSTRUMENTO FINANCIERO DERIVADO </w:t>
          </w:r>
          <w:r>
            <w:rPr>
              <w:rFonts w:ascii="Arial Narrow" w:hAnsi="Arial Narrow"/>
              <w:b/>
              <w:sz w:val="24"/>
            </w:rPr>
            <w:t>“</w:t>
          </w:r>
          <w:r w:rsidRPr="008E4503">
            <w:rPr>
              <w:rFonts w:ascii="Arial Narrow" w:hAnsi="Arial Narrow"/>
              <w:b/>
              <w:sz w:val="24"/>
            </w:rPr>
            <w:t>FORWARD DE MONEDA” QUE DEBERÁN CUMPLIR L</w:t>
          </w:r>
          <w:r>
            <w:rPr>
              <w:rFonts w:ascii="Arial Narrow" w:hAnsi="Arial Narrow"/>
              <w:b/>
              <w:sz w:val="24"/>
            </w:rPr>
            <w:t xml:space="preserve">OS BANCOS </w:t>
          </w:r>
          <w:r w:rsidRPr="008E4503">
            <w:rPr>
              <w:rFonts w:ascii="Arial Narrow" w:hAnsi="Arial Narrow"/>
              <w:b/>
              <w:sz w:val="24"/>
            </w:rPr>
            <w:t>PARA OFERTARLOS EN EL MERCADO LOCAL.</w:t>
          </w:r>
        </w:p>
        <w:p w:rsidR="00FB6F84" w:rsidRPr="001D5A19" w:rsidRDefault="00FB6F84">
          <w:pPr>
            <w:pStyle w:val="Ttulo"/>
            <w:ind w:right="-142"/>
            <w:rPr>
              <w:rFonts w:ascii="Arial Narrow" w:hAnsi="Arial Narrow" w:cs="Arial"/>
              <w:sz w:val="20"/>
              <w:szCs w:val="24"/>
              <w:lang w:val="es-SV"/>
            </w:rPr>
          </w:pPr>
        </w:p>
      </w:tc>
      <w:tc>
        <w:tcPr>
          <w:tcW w:w="1843" w:type="dxa"/>
          <w:vMerge w:val="restart"/>
          <w:shd w:val="clear" w:color="auto" w:fill="auto"/>
        </w:tcPr>
        <w:p w:rsidR="00FB6F84" w:rsidRDefault="00FB6F84">
          <w:pPr>
            <w:pStyle w:val="Encabezado"/>
            <w:tabs>
              <w:tab w:val="right" w:pos="15026"/>
            </w:tabs>
            <w:ind w:right="-93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94615</wp:posOffset>
                </wp:positionV>
                <wp:extent cx="730250" cy="625475"/>
                <wp:effectExtent l="19050" t="0" r="0" b="0"/>
                <wp:wrapTopAndBottom/>
                <wp:docPr id="2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 Imagen" descr="logo_siglasBCR_colo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62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B6F84" w:rsidTr="00333B12">
      <w:trPr>
        <w:trHeight w:val="432"/>
      </w:trPr>
      <w:tc>
        <w:tcPr>
          <w:tcW w:w="2127" w:type="dxa"/>
          <w:shd w:val="clear" w:color="auto" w:fill="auto"/>
          <w:vAlign w:val="center"/>
        </w:tcPr>
        <w:p w:rsidR="00FB6F84" w:rsidRDefault="00FB6F84" w:rsidP="002273ED">
          <w:pPr>
            <w:pStyle w:val="Encabezado"/>
            <w:jc w:val="center"/>
            <w:rPr>
              <w:rFonts w:ascii="Arial Narrow" w:eastAsia="Times New Roman" w:hAnsi="Arial Narrow" w:cs="Times New Roman"/>
              <w:b/>
              <w:kern w:val="28"/>
              <w:sz w:val="20"/>
              <w:szCs w:val="20"/>
              <w:lang w:val="es-ES_tradnl" w:eastAsia="es-ES"/>
            </w:rPr>
          </w:pPr>
          <w:r>
            <w:rPr>
              <w:rFonts w:ascii="Arial Narrow" w:hAnsi="Arial Narrow"/>
              <w:sz w:val="20"/>
            </w:rPr>
            <w:t xml:space="preserve">Aprobación: </w:t>
          </w:r>
          <w:r w:rsidR="002273ED">
            <w:rPr>
              <w:rFonts w:ascii="Arial Narrow" w:hAnsi="Arial Narrow"/>
              <w:sz w:val="20"/>
            </w:rPr>
            <w:t>31</w:t>
          </w:r>
          <w:r>
            <w:rPr>
              <w:rFonts w:ascii="Arial Narrow" w:hAnsi="Arial Narrow"/>
              <w:sz w:val="20"/>
            </w:rPr>
            <w:t>/</w:t>
          </w:r>
          <w:r w:rsidR="002273ED">
            <w:rPr>
              <w:rFonts w:ascii="Arial Narrow" w:hAnsi="Arial Narrow"/>
              <w:sz w:val="20"/>
            </w:rPr>
            <w:t>10</w:t>
          </w:r>
          <w:r>
            <w:rPr>
              <w:rFonts w:ascii="Arial Narrow" w:hAnsi="Arial Narrow"/>
              <w:sz w:val="20"/>
            </w:rPr>
            <w:t>/201</w:t>
          </w:r>
          <w:r w:rsidR="002273ED">
            <w:rPr>
              <w:rFonts w:ascii="Arial Narrow" w:hAnsi="Arial Narrow"/>
              <w:sz w:val="20"/>
            </w:rPr>
            <w:t>2</w:t>
          </w:r>
        </w:p>
      </w:tc>
      <w:tc>
        <w:tcPr>
          <w:tcW w:w="6662" w:type="dxa"/>
          <w:vMerge/>
          <w:shd w:val="clear" w:color="auto" w:fill="auto"/>
          <w:vAlign w:val="center"/>
        </w:tcPr>
        <w:p w:rsidR="00FB6F84" w:rsidRPr="00963B09" w:rsidRDefault="00FB6F84" w:rsidP="00753C83">
          <w:pPr>
            <w:pStyle w:val="Ttulo"/>
            <w:ind w:right="-142"/>
            <w:rPr>
              <w:rFonts w:ascii="Arial Narrow" w:hAnsi="Arial Narrow" w:cs="Arial"/>
              <w:sz w:val="20"/>
              <w:szCs w:val="24"/>
            </w:rPr>
          </w:pPr>
        </w:p>
      </w:tc>
      <w:tc>
        <w:tcPr>
          <w:tcW w:w="1843" w:type="dxa"/>
          <w:vMerge/>
          <w:shd w:val="clear" w:color="auto" w:fill="auto"/>
        </w:tcPr>
        <w:p w:rsidR="00FB6F84" w:rsidRDefault="00FB6F84">
          <w:pPr>
            <w:pStyle w:val="Encabezado"/>
            <w:rPr>
              <w:rFonts w:ascii="Arial Narrow" w:hAnsi="Arial Narrow"/>
              <w:noProof/>
              <w:sz w:val="20"/>
              <w:lang w:val="es-MX" w:eastAsia="es-MX"/>
            </w:rPr>
          </w:pPr>
        </w:p>
      </w:tc>
    </w:tr>
    <w:tr w:rsidR="00FB6F84" w:rsidTr="00333B12">
      <w:trPr>
        <w:trHeight w:val="432"/>
      </w:trPr>
      <w:tc>
        <w:tcPr>
          <w:tcW w:w="2127" w:type="dxa"/>
          <w:shd w:val="clear" w:color="auto" w:fill="auto"/>
          <w:vAlign w:val="center"/>
        </w:tcPr>
        <w:p w:rsidR="00FB6F84" w:rsidRDefault="00FB6F84" w:rsidP="002273ED">
          <w:pPr>
            <w:pStyle w:val="Encabezado"/>
            <w:jc w:val="center"/>
            <w:rPr>
              <w:rFonts w:ascii="Arial Narrow" w:eastAsia="Times New Roman" w:hAnsi="Arial Narrow" w:cs="Times New Roman"/>
              <w:b/>
              <w:kern w:val="28"/>
              <w:sz w:val="20"/>
              <w:szCs w:val="20"/>
              <w:lang w:val="es-ES_tradnl" w:eastAsia="es-ES"/>
            </w:rPr>
          </w:pPr>
          <w:r>
            <w:rPr>
              <w:rFonts w:ascii="Arial Narrow" w:hAnsi="Arial Narrow"/>
              <w:sz w:val="20"/>
            </w:rPr>
            <w:t>Vigencia: 1</w:t>
          </w:r>
          <w:r w:rsidR="002273ED">
            <w:rPr>
              <w:rFonts w:ascii="Arial Narrow" w:hAnsi="Arial Narrow"/>
              <w:sz w:val="20"/>
            </w:rPr>
            <w:t>5</w:t>
          </w:r>
          <w:r>
            <w:rPr>
              <w:rFonts w:ascii="Arial Narrow" w:hAnsi="Arial Narrow"/>
              <w:sz w:val="20"/>
            </w:rPr>
            <w:t>/</w:t>
          </w:r>
          <w:r w:rsidR="002273ED">
            <w:rPr>
              <w:rFonts w:ascii="Arial Narrow" w:hAnsi="Arial Narrow"/>
              <w:sz w:val="20"/>
            </w:rPr>
            <w:t>11</w:t>
          </w:r>
          <w:r>
            <w:rPr>
              <w:rFonts w:ascii="Arial Narrow" w:hAnsi="Arial Narrow"/>
              <w:sz w:val="20"/>
            </w:rPr>
            <w:t>/201</w:t>
          </w:r>
          <w:r w:rsidR="002273ED">
            <w:rPr>
              <w:rFonts w:ascii="Arial Narrow" w:hAnsi="Arial Narrow"/>
              <w:sz w:val="20"/>
            </w:rPr>
            <w:t>2</w:t>
          </w:r>
        </w:p>
      </w:tc>
      <w:tc>
        <w:tcPr>
          <w:tcW w:w="6662" w:type="dxa"/>
          <w:vMerge/>
          <w:shd w:val="clear" w:color="auto" w:fill="auto"/>
          <w:vAlign w:val="center"/>
        </w:tcPr>
        <w:p w:rsidR="00FB6F84" w:rsidRPr="00963B09" w:rsidRDefault="00FB6F84" w:rsidP="00753C83">
          <w:pPr>
            <w:pStyle w:val="Ttulo"/>
            <w:ind w:right="-142"/>
            <w:rPr>
              <w:rFonts w:ascii="Arial Narrow" w:hAnsi="Arial Narrow" w:cs="Arial"/>
              <w:sz w:val="20"/>
              <w:szCs w:val="24"/>
            </w:rPr>
          </w:pPr>
        </w:p>
      </w:tc>
      <w:tc>
        <w:tcPr>
          <w:tcW w:w="1843" w:type="dxa"/>
          <w:vMerge/>
          <w:shd w:val="clear" w:color="auto" w:fill="auto"/>
        </w:tcPr>
        <w:p w:rsidR="00FB6F84" w:rsidRDefault="00FB6F84">
          <w:pPr>
            <w:pStyle w:val="Encabezado"/>
            <w:rPr>
              <w:rFonts w:ascii="Arial Narrow" w:hAnsi="Arial Narrow"/>
              <w:noProof/>
              <w:sz w:val="20"/>
              <w:lang w:val="es-MX" w:eastAsia="es-MX"/>
            </w:rPr>
          </w:pPr>
        </w:p>
      </w:tc>
    </w:tr>
  </w:tbl>
  <w:p w:rsidR="00FB6F84" w:rsidRDefault="00FB6F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43E"/>
    <w:multiLevelType w:val="multilevel"/>
    <w:tmpl w:val="938AB2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D5656B"/>
    <w:multiLevelType w:val="hybridMultilevel"/>
    <w:tmpl w:val="01C6897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C52DF"/>
    <w:multiLevelType w:val="hybridMultilevel"/>
    <w:tmpl w:val="1A00B5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786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9AE"/>
    <w:multiLevelType w:val="hybridMultilevel"/>
    <w:tmpl w:val="441081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5216B"/>
    <w:multiLevelType w:val="hybridMultilevel"/>
    <w:tmpl w:val="4C0AA0F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3063"/>
    <w:multiLevelType w:val="hybridMultilevel"/>
    <w:tmpl w:val="C3B21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B2C00"/>
    <w:multiLevelType w:val="multilevel"/>
    <w:tmpl w:val="938AB2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BE84A38"/>
    <w:multiLevelType w:val="multilevel"/>
    <w:tmpl w:val="938AB2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CEA7003"/>
    <w:multiLevelType w:val="hybridMultilevel"/>
    <w:tmpl w:val="954641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43A31"/>
    <w:multiLevelType w:val="hybridMultilevel"/>
    <w:tmpl w:val="441081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D4CA3"/>
    <w:multiLevelType w:val="hybridMultilevel"/>
    <w:tmpl w:val="BC741EA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B455B"/>
    <w:multiLevelType w:val="hybridMultilevel"/>
    <w:tmpl w:val="F3E2CAF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A7319"/>
    <w:multiLevelType w:val="hybridMultilevel"/>
    <w:tmpl w:val="CA024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F087C"/>
    <w:multiLevelType w:val="hybridMultilevel"/>
    <w:tmpl w:val="6C5CA8B4"/>
    <w:lvl w:ilvl="0" w:tplc="949A7B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92779"/>
    <w:multiLevelType w:val="multilevel"/>
    <w:tmpl w:val="0C0A001F"/>
    <w:lvl w:ilvl="0">
      <w:start w:val="1"/>
      <w:numFmt w:val="decimal"/>
      <w:lvlText w:val="%1."/>
      <w:lvlJc w:val="left"/>
      <w:pPr>
        <w:ind w:left="-348" w:hanging="360"/>
      </w:pPr>
    </w:lvl>
    <w:lvl w:ilvl="1">
      <w:start w:val="1"/>
      <w:numFmt w:val="decimal"/>
      <w:lvlText w:val="%1.%2."/>
      <w:lvlJc w:val="left"/>
      <w:pPr>
        <w:ind w:left="84" w:hanging="432"/>
      </w:pPr>
    </w:lvl>
    <w:lvl w:ilvl="2">
      <w:start w:val="1"/>
      <w:numFmt w:val="decimal"/>
      <w:lvlText w:val="%1.%2.%3."/>
      <w:lvlJc w:val="left"/>
      <w:pPr>
        <w:ind w:left="516" w:hanging="504"/>
      </w:pPr>
    </w:lvl>
    <w:lvl w:ilvl="3">
      <w:start w:val="1"/>
      <w:numFmt w:val="decimal"/>
      <w:lvlText w:val="%1.%2.%3.%4."/>
      <w:lvlJc w:val="left"/>
      <w:pPr>
        <w:ind w:left="1020" w:hanging="648"/>
      </w:pPr>
    </w:lvl>
    <w:lvl w:ilvl="4">
      <w:start w:val="1"/>
      <w:numFmt w:val="decimal"/>
      <w:lvlText w:val="%1.%2.%3.%4.%5."/>
      <w:lvlJc w:val="left"/>
      <w:pPr>
        <w:ind w:left="1524" w:hanging="792"/>
      </w:pPr>
    </w:lvl>
    <w:lvl w:ilvl="5">
      <w:start w:val="1"/>
      <w:numFmt w:val="decimal"/>
      <w:lvlText w:val="%1.%2.%3.%4.%5.%6."/>
      <w:lvlJc w:val="left"/>
      <w:pPr>
        <w:ind w:left="2028" w:hanging="936"/>
      </w:pPr>
    </w:lvl>
    <w:lvl w:ilvl="6">
      <w:start w:val="1"/>
      <w:numFmt w:val="decimal"/>
      <w:lvlText w:val="%1.%2.%3.%4.%5.%6.%7."/>
      <w:lvlJc w:val="left"/>
      <w:pPr>
        <w:ind w:left="2532" w:hanging="1080"/>
      </w:pPr>
    </w:lvl>
    <w:lvl w:ilvl="7">
      <w:start w:val="1"/>
      <w:numFmt w:val="decimal"/>
      <w:lvlText w:val="%1.%2.%3.%4.%5.%6.%7.%8."/>
      <w:lvlJc w:val="left"/>
      <w:pPr>
        <w:ind w:left="3036" w:hanging="1224"/>
      </w:pPr>
    </w:lvl>
    <w:lvl w:ilvl="8">
      <w:start w:val="1"/>
      <w:numFmt w:val="decimal"/>
      <w:lvlText w:val="%1.%2.%3.%4.%5.%6.%7.%8.%9."/>
      <w:lvlJc w:val="left"/>
      <w:pPr>
        <w:ind w:left="3612" w:hanging="1440"/>
      </w:pPr>
    </w:lvl>
  </w:abstractNum>
  <w:abstractNum w:abstractNumId="15">
    <w:nsid w:val="66C71F50"/>
    <w:multiLevelType w:val="multilevel"/>
    <w:tmpl w:val="CC76471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DFD60DD"/>
    <w:multiLevelType w:val="hybridMultilevel"/>
    <w:tmpl w:val="95043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956D6"/>
    <w:multiLevelType w:val="hybridMultilevel"/>
    <w:tmpl w:val="8F762E2A"/>
    <w:lvl w:ilvl="0" w:tplc="B3B6F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977E7"/>
    <w:multiLevelType w:val="hybridMultilevel"/>
    <w:tmpl w:val="E0E41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8"/>
    <w:rsid w:val="0000054D"/>
    <w:rsid w:val="000015B6"/>
    <w:rsid w:val="00007F2C"/>
    <w:rsid w:val="00011360"/>
    <w:rsid w:val="00013644"/>
    <w:rsid w:val="000222B8"/>
    <w:rsid w:val="0007198D"/>
    <w:rsid w:val="000732E1"/>
    <w:rsid w:val="00075110"/>
    <w:rsid w:val="000834DA"/>
    <w:rsid w:val="00092BA4"/>
    <w:rsid w:val="000B0164"/>
    <w:rsid w:val="000B4AA8"/>
    <w:rsid w:val="000B6715"/>
    <w:rsid w:val="000C1EDB"/>
    <w:rsid w:val="000C34B4"/>
    <w:rsid w:val="000D4729"/>
    <w:rsid w:val="000F52AC"/>
    <w:rsid w:val="00112E16"/>
    <w:rsid w:val="00114EE3"/>
    <w:rsid w:val="00131EAF"/>
    <w:rsid w:val="00134158"/>
    <w:rsid w:val="00141F4D"/>
    <w:rsid w:val="00147170"/>
    <w:rsid w:val="001801DF"/>
    <w:rsid w:val="00190ED2"/>
    <w:rsid w:val="0019500E"/>
    <w:rsid w:val="001A744D"/>
    <w:rsid w:val="001B1004"/>
    <w:rsid w:val="001D5A19"/>
    <w:rsid w:val="001F0DDE"/>
    <w:rsid w:val="002031E8"/>
    <w:rsid w:val="0021215D"/>
    <w:rsid w:val="00214C55"/>
    <w:rsid w:val="00225AA6"/>
    <w:rsid w:val="002273ED"/>
    <w:rsid w:val="002446AF"/>
    <w:rsid w:val="00260CA8"/>
    <w:rsid w:val="0026288E"/>
    <w:rsid w:val="0027736C"/>
    <w:rsid w:val="00290630"/>
    <w:rsid w:val="00293ED4"/>
    <w:rsid w:val="00294703"/>
    <w:rsid w:val="002C2D7A"/>
    <w:rsid w:val="002C3C79"/>
    <w:rsid w:val="002E302B"/>
    <w:rsid w:val="002E40A3"/>
    <w:rsid w:val="002F1B32"/>
    <w:rsid w:val="002F20AF"/>
    <w:rsid w:val="003137D6"/>
    <w:rsid w:val="0031464E"/>
    <w:rsid w:val="00324C58"/>
    <w:rsid w:val="00332AD9"/>
    <w:rsid w:val="00333B12"/>
    <w:rsid w:val="00342AAA"/>
    <w:rsid w:val="00345574"/>
    <w:rsid w:val="00371F28"/>
    <w:rsid w:val="00373901"/>
    <w:rsid w:val="00387D23"/>
    <w:rsid w:val="00392B6C"/>
    <w:rsid w:val="003B3810"/>
    <w:rsid w:val="003B5DD2"/>
    <w:rsid w:val="003C0719"/>
    <w:rsid w:val="003C1966"/>
    <w:rsid w:val="003D0F30"/>
    <w:rsid w:val="003D4DD4"/>
    <w:rsid w:val="003D5E85"/>
    <w:rsid w:val="003F0577"/>
    <w:rsid w:val="00412137"/>
    <w:rsid w:val="004266DA"/>
    <w:rsid w:val="004301C4"/>
    <w:rsid w:val="00430DAB"/>
    <w:rsid w:val="00454770"/>
    <w:rsid w:val="00461E36"/>
    <w:rsid w:val="004653EE"/>
    <w:rsid w:val="0047269E"/>
    <w:rsid w:val="004769D6"/>
    <w:rsid w:val="0049035C"/>
    <w:rsid w:val="0049510A"/>
    <w:rsid w:val="004A0E9F"/>
    <w:rsid w:val="004B409A"/>
    <w:rsid w:val="004C5EFD"/>
    <w:rsid w:val="004D5A0C"/>
    <w:rsid w:val="004E680D"/>
    <w:rsid w:val="004E7B5D"/>
    <w:rsid w:val="004F37F4"/>
    <w:rsid w:val="00513B48"/>
    <w:rsid w:val="00526C90"/>
    <w:rsid w:val="00535406"/>
    <w:rsid w:val="00540DD5"/>
    <w:rsid w:val="00543CD9"/>
    <w:rsid w:val="00547F5E"/>
    <w:rsid w:val="00552BA1"/>
    <w:rsid w:val="005533F4"/>
    <w:rsid w:val="005541EE"/>
    <w:rsid w:val="00562E13"/>
    <w:rsid w:val="00571710"/>
    <w:rsid w:val="005767E1"/>
    <w:rsid w:val="005907B7"/>
    <w:rsid w:val="00595AAE"/>
    <w:rsid w:val="005A2F16"/>
    <w:rsid w:val="005C1D34"/>
    <w:rsid w:val="005C5B9A"/>
    <w:rsid w:val="005D62C8"/>
    <w:rsid w:val="005E417D"/>
    <w:rsid w:val="00606252"/>
    <w:rsid w:val="00617DB8"/>
    <w:rsid w:val="00623BD8"/>
    <w:rsid w:val="00653956"/>
    <w:rsid w:val="00655E1B"/>
    <w:rsid w:val="00671333"/>
    <w:rsid w:val="00672366"/>
    <w:rsid w:val="00682ADC"/>
    <w:rsid w:val="00690393"/>
    <w:rsid w:val="00697CB4"/>
    <w:rsid w:val="006A20EB"/>
    <w:rsid w:val="006A405D"/>
    <w:rsid w:val="006A5630"/>
    <w:rsid w:val="006B224C"/>
    <w:rsid w:val="006B52CF"/>
    <w:rsid w:val="006C729B"/>
    <w:rsid w:val="006D60AB"/>
    <w:rsid w:val="006E65F8"/>
    <w:rsid w:val="006F4029"/>
    <w:rsid w:val="006F4719"/>
    <w:rsid w:val="006F613F"/>
    <w:rsid w:val="00700DEC"/>
    <w:rsid w:val="0070327C"/>
    <w:rsid w:val="007461B1"/>
    <w:rsid w:val="00753C83"/>
    <w:rsid w:val="00766522"/>
    <w:rsid w:val="0077708D"/>
    <w:rsid w:val="007845B5"/>
    <w:rsid w:val="00793620"/>
    <w:rsid w:val="007A1B15"/>
    <w:rsid w:val="007B6DDE"/>
    <w:rsid w:val="007C0C7D"/>
    <w:rsid w:val="007D2E52"/>
    <w:rsid w:val="007E45A5"/>
    <w:rsid w:val="007F3128"/>
    <w:rsid w:val="007F47CF"/>
    <w:rsid w:val="00810BBC"/>
    <w:rsid w:val="008166E0"/>
    <w:rsid w:val="008331A8"/>
    <w:rsid w:val="00860A4D"/>
    <w:rsid w:val="00871A69"/>
    <w:rsid w:val="0088143E"/>
    <w:rsid w:val="0089215E"/>
    <w:rsid w:val="00895E51"/>
    <w:rsid w:val="008A661A"/>
    <w:rsid w:val="008B1A7C"/>
    <w:rsid w:val="008B6866"/>
    <w:rsid w:val="008D6FF9"/>
    <w:rsid w:val="008E0668"/>
    <w:rsid w:val="008F11DA"/>
    <w:rsid w:val="00905EDF"/>
    <w:rsid w:val="00905F90"/>
    <w:rsid w:val="00912863"/>
    <w:rsid w:val="00913CDA"/>
    <w:rsid w:val="00916FDB"/>
    <w:rsid w:val="009252DC"/>
    <w:rsid w:val="00927823"/>
    <w:rsid w:val="00927A18"/>
    <w:rsid w:val="00927F9B"/>
    <w:rsid w:val="00932C84"/>
    <w:rsid w:val="0095521A"/>
    <w:rsid w:val="0095583F"/>
    <w:rsid w:val="00970B5B"/>
    <w:rsid w:val="00970F60"/>
    <w:rsid w:val="00973048"/>
    <w:rsid w:val="00991E60"/>
    <w:rsid w:val="00991E8A"/>
    <w:rsid w:val="00992F85"/>
    <w:rsid w:val="00996B00"/>
    <w:rsid w:val="009A6ADD"/>
    <w:rsid w:val="009B48D3"/>
    <w:rsid w:val="009B60AE"/>
    <w:rsid w:val="009B630E"/>
    <w:rsid w:val="009C33EE"/>
    <w:rsid w:val="009C3BA8"/>
    <w:rsid w:val="009D4682"/>
    <w:rsid w:val="009D5A2D"/>
    <w:rsid w:val="00A02947"/>
    <w:rsid w:val="00A309AF"/>
    <w:rsid w:val="00A32F8A"/>
    <w:rsid w:val="00A34EF6"/>
    <w:rsid w:val="00A36774"/>
    <w:rsid w:val="00A41AF8"/>
    <w:rsid w:val="00A64EC5"/>
    <w:rsid w:val="00A64EED"/>
    <w:rsid w:val="00A67772"/>
    <w:rsid w:val="00A70A65"/>
    <w:rsid w:val="00A77114"/>
    <w:rsid w:val="00AA6399"/>
    <w:rsid w:val="00AC72A6"/>
    <w:rsid w:val="00AD215E"/>
    <w:rsid w:val="00AE0377"/>
    <w:rsid w:val="00AE13F4"/>
    <w:rsid w:val="00AE5463"/>
    <w:rsid w:val="00AF3D4F"/>
    <w:rsid w:val="00AF5916"/>
    <w:rsid w:val="00AF6DB6"/>
    <w:rsid w:val="00B12786"/>
    <w:rsid w:val="00B265EA"/>
    <w:rsid w:val="00B33E4A"/>
    <w:rsid w:val="00B47FBD"/>
    <w:rsid w:val="00B61E84"/>
    <w:rsid w:val="00B62992"/>
    <w:rsid w:val="00B64632"/>
    <w:rsid w:val="00B6697F"/>
    <w:rsid w:val="00B83218"/>
    <w:rsid w:val="00B83C93"/>
    <w:rsid w:val="00B936A7"/>
    <w:rsid w:val="00B9674F"/>
    <w:rsid w:val="00B96C18"/>
    <w:rsid w:val="00BB0249"/>
    <w:rsid w:val="00BB0261"/>
    <w:rsid w:val="00BB494D"/>
    <w:rsid w:val="00BB6FED"/>
    <w:rsid w:val="00BB723C"/>
    <w:rsid w:val="00BC78AC"/>
    <w:rsid w:val="00BD76C1"/>
    <w:rsid w:val="00BE1F93"/>
    <w:rsid w:val="00BE42AF"/>
    <w:rsid w:val="00C05409"/>
    <w:rsid w:val="00C166F9"/>
    <w:rsid w:val="00C2161F"/>
    <w:rsid w:val="00C22108"/>
    <w:rsid w:val="00C313EB"/>
    <w:rsid w:val="00C36EF3"/>
    <w:rsid w:val="00C40166"/>
    <w:rsid w:val="00C4092E"/>
    <w:rsid w:val="00C4522F"/>
    <w:rsid w:val="00C61139"/>
    <w:rsid w:val="00C64E2F"/>
    <w:rsid w:val="00C71F15"/>
    <w:rsid w:val="00C8315A"/>
    <w:rsid w:val="00C872A5"/>
    <w:rsid w:val="00C87ADB"/>
    <w:rsid w:val="00C95748"/>
    <w:rsid w:val="00CA2B3B"/>
    <w:rsid w:val="00CA5B96"/>
    <w:rsid w:val="00CB56FF"/>
    <w:rsid w:val="00CB6109"/>
    <w:rsid w:val="00CD6331"/>
    <w:rsid w:val="00CF34CE"/>
    <w:rsid w:val="00D04DA2"/>
    <w:rsid w:val="00D0510F"/>
    <w:rsid w:val="00D2153C"/>
    <w:rsid w:val="00D24AB9"/>
    <w:rsid w:val="00D60616"/>
    <w:rsid w:val="00D7050D"/>
    <w:rsid w:val="00D7597A"/>
    <w:rsid w:val="00D83F54"/>
    <w:rsid w:val="00D848D2"/>
    <w:rsid w:val="00D91941"/>
    <w:rsid w:val="00D95E72"/>
    <w:rsid w:val="00D96EB7"/>
    <w:rsid w:val="00DA6770"/>
    <w:rsid w:val="00DC4E22"/>
    <w:rsid w:val="00DC5B90"/>
    <w:rsid w:val="00DC7A2A"/>
    <w:rsid w:val="00DE5E72"/>
    <w:rsid w:val="00DF4D00"/>
    <w:rsid w:val="00DF750A"/>
    <w:rsid w:val="00E0243D"/>
    <w:rsid w:val="00E043EB"/>
    <w:rsid w:val="00E076C1"/>
    <w:rsid w:val="00E11DD3"/>
    <w:rsid w:val="00E128B6"/>
    <w:rsid w:val="00E13EDA"/>
    <w:rsid w:val="00E4307F"/>
    <w:rsid w:val="00E43589"/>
    <w:rsid w:val="00E4703F"/>
    <w:rsid w:val="00E607A4"/>
    <w:rsid w:val="00E60A2A"/>
    <w:rsid w:val="00E64895"/>
    <w:rsid w:val="00E726D5"/>
    <w:rsid w:val="00E91B0C"/>
    <w:rsid w:val="00E975DC"/>
    <w:rsid w:val="00EB4AF4"/>
    <w:rsid w:val="00EC0907"/>
    <w:rsid w:val="00EF6A2A"/>
    <w:rsid w:val="00F2586D"/>
    <w:rsid w:val="00F44736"/>
    <w:rsid w:val="00F46781"/>
    <w:rsid w:val="00FA25B2"/>
    <w:rsid w:val="00FA7B61"/>
    <w:rsid w:val="00FB486C"/>
    <w:rsid w:val="00FB4DDD"/>
    <w:rsid w:val="00FB6F84"/>
    <w:rsid w:val="00FD27B4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A8"/>
    <w:pPr>
      <w:spacing w:after="0" w:line="240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AA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B4A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B4AA8"/>
    <w:rPr>
      <w:lang w:val="es-SV"/>
    </w:rPr>
  </w:style>
  <w:style w:type="paragraph" w:styleId="Piedepgina">
    <w:name w:val="footer"/>
    <w:basedOn w:val="Normal"/>
    <w:link w:val="PiedepginaCar"/>
    <w:unhideWhenUsed/>
    <w:rsid w:val="000B4A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B4AA8"/>
    <w:rPr>
      <w:lang w:val="es-SV"/>
    </w:rPr>
  </w:style>
  <w:style w:type="table" w:styleId="Tablaconcuadrcula">
    <w:name w:val="Table Grid"/>
    <w:basedOn w:val="Tablanormal"/>
    <w:uiPriority w:val="59"/>
    <w:rsid w:val="000B4AA8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0B4AA8"/>
    <w:pPr>
      <w:jc w:val="center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4AA8"/>
    <w:rPr>
      <w:rFonts w:ascii="Arial" w:eastAsia="Times New Roman" w:hAnsi="Arial" w:cs="Times New Roman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A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AA8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2773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3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36C"/>
    <w:rPr>
      <w:sz w:val="20"/>
      <w:szCs w:val="20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3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36C"/>
    <w:rPr>
      <w:b/>
      <w:bCs/>
      <w:sz w:val="20"/>
      <w:szCs w:val="20"/>
      <w:lang w:val="es-SV"/>
    </w:rPr>
  </w:style>
  <w:style w:type="character" w:styleId="Hipervnculo">
    <w:name w:val="Hyperlink"/>
    <w:basedOn w:val="Fuentedeprrafopredeter"/>
    <w:unhideWhenUsed/>
    <w:rsid w:val="00526C9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D848D2"/>
    <w:pPr>
      <w:numPr>
        <w:ilvl w:val="12"/>
      </w:numPr>
      <w:tabs>
        <w:tab w:val="left" w:pos="720"/>
      </w:tabs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848D2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A8"/>
    <w:pPr>
      <w:spacing w:after="0" w:line="240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AA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B4A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B4AA8"/>
    <w:rPr>
      <w:lang w:val="es-SV"/>
    </w:rPr>
  </w:style>
  <w:style w:type="paragraph" w:styleId="Piedepgina">
    <w:name w:val="footer"/>
    <w:basedOn w:val="Normal"/>
    <w:link w:val="PiedepginaCar"/>
    <w:unhideWhenUsed/>
    <w:rsid w:val="000B4A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B4AA8"/>
    <w:rPr>
      <w:lang w:val="es-SV"/>
    </w:rPr>
  </w:style>
  <w:style w:type="table" w:styleId="Tablaconcuadrcula">
    <w:name w:val="Table Grid"/>
    <w:basedOn w:val="Tablanormal"/>
    <w:uiPriority w:val="59"/>
    <w:rsid w:val="000B4AA8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0B4AA8"/>
    <w:pPr>
      <w:jc w:val="center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4AA8"/>
    <w:rPr>
      <w:rFonts w:ascii="Arial" w:eastAsia="Times New Roman" w:hAnsi="Arial" w:cs="Times New Roman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A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AA8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2773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3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36C"/>
    <w:rPr>
      <w:sz w:val="20"/>
      <w:szCs w:val="20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3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36C"/>
    <w:rPr>
      <w:b/>
      <w:bCs/>
      <w:sz w:val="20"/>
      <w:szCs w:val="20"/>
      <w:lang w:val="es-SV"/>
    </w:rPr>
  </w:style>
  <w:style w:type="character" w:styleId="Hipervnculo">
    <w:name w:val="Hyperlink"/>
    <w:basedOn w:val="Fuentedeprrafopredeter"/>
    <w:unhideWhenUsed/>
    <w:rsid w:val="00526C9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D848D2"/>
    <w:pPr>
      <w:numPr>
        <w:ilvl w:val="12"/>
      </w:numPr>
      <w:tabs>
        <w:tab w:val="left" w:pos="720"/>
      </w:tabs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848D2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ralinfo@ssf.gob.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.mercados@bcr.gob.s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8AB4-F00F-4BBD-A369-E3F2D53E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dfwendy</dc:creator>
  <cp:lastModifiedBy>dfricard</cp:lastModifiedBy>
  <cp:revision>2</cp:revision>
  <cp:lastPrinted>2016-11-16T16:25:00Z</cp:lastPrinted>
  <dcterms:created xsi:type="dcterms:W3CDTF">2019-01-04T19:15:00Z</dcterms:created>
  <dcterms:modified xsi:type="dcterms:W3CDTF">2019-01-04T19:15:00Z</dcterms:modified>
</cp:coreProperties>
</file>