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1CC6B" w14:textId="77777777" w:rsidR="009926D5" w:rsidRDefault="009926D5" w:rsidP="00C9622D">
      <w:pPr>
        <w:rPr>
          <w:rFonts w:ascii="Arial" w:hAnsi="Arial" w:cs="Arial"/>
          <w:sz w:val="22"/>
          <w:szCs w:val="22"/>
          <w:lang w:val="es-SV"/>
        </w:rPr>
      </w:pPr>
      <w:bookmarkStart w:id="0" w:name="_Toc5699609"/>
      <w:bookmarkStart w:id="1" w:name="_Toc5891015"/>
      <w:bookmarkStart w:id="2" w:name="_Toc5892157"/>
    </w:p>
    <w:p w14:paraId="5E619162" w14:textId="5B46DD39" w:rsidR="00C9622D" w:rsidRPr="00BE5FA7" w:rsidRDefault="00B041A5" w:rsidP="00C9622D">
      <w:pPr>
        <w:rPr>
          <w:rFonts w:ascii="Arial" w:hAnsi="Arial" w:cs="Arial"/>
          <w:sz w:val="22"/>
          <w:szCs w:val="22"/>
          <w:lang w:val="es-SV"/>
        </w:rPr>
      </w:pPr>
      <w:r w:rsidRPr="00BE5FA7">
        <w:rPr>
          <w:rFonts w:ascii="Arial" w:hAnsi="Arial" w:cs="Arial"/>
          <w:noProof/>
          <w:sz w:val="22"/>
          <w:szCs w:val="22"/>
          <w:lang w:val="es-SV" w:eastAsia="es-SV"/>
        </w:rPr>
        <mc:AlternateContent>
          <mc:Choice Requires="wps">
            <w:drawing>
              <wp:anchor distT="0" distB="0" distL="114300" distR="114300" simplePos="0" relativeHeight="251658241" behindDoc="0" locked="0" layoutInCell="1" allowOverlap="1" wp14:anchorId="24052276" wp14:editId="7407CBC6">
                <wp:simplePos x="0" y="0"/>
                <wp:positionH relativeFrom="column">
                  <wp:posOffset>-65315</wp:posOffset>
                </wp:positionH>
                <wp:positionV relativeFrom="paragraph">
                  <wp:posOffset>8890</wp:posOffset>
                </wp:positionV>
                <wp:extent cx="6223000" cy="8470900"/>
                <wp:effectExtent l="19050" t="19050" r="44450" b="44450"/>
                <wp:wrapNone/>
                <wp:docPr id="1" name="1 Rectángulo"/>
                <wp:cNvGraphicFramePr/>
                <a:graphic xmlns:a="http://schemas.openxmlformats.org/drawingml/2006/main">
                  <a:graphicData uri="http://schemas.microsoft.com/office/word/2010/wordprocessingShape">
                    <wps:wsp>
                      <wps:cNvSpPr/>
                      <wps:spPr>
                        <a:xfrm>
                          <a:off x="0" y="0"/>
                          <a:ext cx="6223000" cy="8470900"/>
                        </a:xfrm>
                        <a:prstGeom prst="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7E459" id="1 Rectángulo" o:spid="_x0000_s1026" style="position:absolute;margin-left:-5.15pt;margin-top:.7pt;width:490pt;height:66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" filled="f" strokecolor="black [3213]" strokeweight="4.5pt">
                <v:stroke linestyle="thickThin"/>
              </v:rect>
            </w:pict>
          </mc:Fallback>
        </mc:AlternateContent>
      </w:r>
    </w:p>
    <w:p w14:paraId="60133384" w14:textId="77777777" w:rsidR="00C9622D" w:rsidRPr="00BE5FA7" w:rsidRDefault="00C9622D" w:rsidP="00C9622D">
      <w:pPr>
        <w:rPr>
          <w:rFonts w:ascii="Arial" w:hAnsi="Arial" w:cs="Arial"/>
          <w:sz w:val="22"/>
          <w:szCs w:val="22"/>
          <w:lang w:val="es-SV"/>
        </w:rPr>
      </w:pPr>
    </w:p>
    <w:p w14:paraId="5BAC43C4" w14:textId="4558193F" w:rsidR="00C9622D" w:rsidRPr="00BE5FA7" w:rsidRDefault="00C9622D" w:rsidP="00C9622D">
      <w:pPr>
        <w:rPr>
          <w:rFonts w:ascii="Arial" w:hAnsi="Arial" w:cs="Arial"/>
          <w:sz w:val="22"/>
          <w:szCs w:val="22"/>
          <w:lang w:val="es-SV"/>
        </w:rPr>
      </w:pPr>
    </w:p>
    <w:p w14:paraId="7AB096DB" w14:textId="5FCD6113" w:rsidR="00C9622D" w:rsidRPr="00BE5FA7" w:rsidRDefault="00F3735A" w:rsidP="00C9622D">
      <w:pPr>
        <w:rPr>
          <w:rFonts w:ascii="Arial" w:hAnsi="Arial" w:cs="Arial"/>
          <w:sz w:val="22"/>
          <w:szCs w:val="22"/>
          <w:lang w:val="es-SV"/>
        </w:rPr>
      </w:pPr>
      <w:r>
        <w:rPr>
          <w:noProof/>
        </w:rPr>
        <w:drawing>
          <wp:anchor distT="0" distB="0" distL="114300" distR="114300" simplePos="0" relativeHeight="251658247" behindDoc="1" locked="0" layoutInCell="1" allowOverlap="1" wp14:anchorId="0A1105DA" wp14:editId="2A95BDCA">
            <wp:simplePos x="0" y="0"/>
            <wp:positionH relativeFrom="margin">
              <wp:posOffset>2456121</wp:posOffset>
            </wp:positionH>
            <wp:positionV relativeFrom="paragraph">
              <wp:posOffset>8728</wp:posOffset>
            </wp:positionV>
            <wp:extent cx="1233805" cy="1190625"/>
            <wp:effectExtent l="0" t="0" r="4445" b="9525"/>
            <wp:wrapTight wrapText="bothSides">
              <wp:wrapPolygon edited="0">
                <wp:start x="8004" y="0"/>
                <wp:lineTo x="5670" y="691"/>
                <wp:lineTo x="1001" y="4493"/>
                <wp:lineTo x="0" y="10368"/>
                <wp:lineTo x="0" y="11750"/>
                <wp:lineTo x="1668" y="17626"/>
                <wp:lineTo x="7004" y="21082"/>
                <wp:lineTo x="8338" y="21427"/>
                <wp:lineTo x="13007" y="21427"/>
                <wp:lineTo x="14341" y="21082"/>
                <wp:lineTo x="19677" y="17280"/>
                <wp:lineTo x="20010" y="16589"/>
                <wp:lineTo x="21344" y="11750"/>
                <wp:lineTo x="20677" y="4838"/>
                <wp:lineTo x="15675" y="691"/>
                <wp:lineTo x="13340" y="0"/>
                <wp:lineTo x="8004" y="0"/>
              </wp:wrapPolygon>
            </wp:wrapTight>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 r="44603" b="1"/>
                    <a:stretch/>
                  </pic:blipFill>
                  <pic:spPr bwMode="auto">
                    <a:xfrm>
                      <a:off x="0" y="0"/>
                      <a:ext cx="123380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985BE6" w14:textId="77777777" w:rsidR="00C9622D" w:rsidRPr="00BE5FA7" w:rsidRDefault="00C9622D" w:rsidP="00C9622D">
      <w:pPr>
        <w:jc w:val="center"/>
        <w:rPr>
          <w:rFonts w:ascii="Arial" w:hAnsi="Arial" w:cs="Arial"/>
          <w:b/>
          <w:sz w:val="80"/>
          <w:szCs w:val="80"/>
          <w:lang w:val="es-SV"/>
        </w:rPr>
      </w:pPr>
    </w:p>
    <w:p w14:paraId="670A68A2" w14:textId="77777777" w:rsidR="00C9622D" w:rsidRPr="00BE5FA7" w:rsidRDefault="00C9622D" w:rsidP="00C9622D">
      <w:pPr>
        <w:jc w:val="center"/>
        <w:rPr>
          <w:rFonts w:ascii="Arial" w:hAnsi="Arial" w:cs="Arial"/>
          <w:b/>
          <w:sz w:val="80"/>
          <w:szCs w:val="80"/>
          <w:lang w:val="es-SV"/>
        </w:rPr>
      </w:pPr>
    </w:p>
    <w:p w14:paraId="155D0624" w14:textId="77777777" w:rsidR="00C9622D" w:rsidRPr="00BE5FA7" w:rsidRDefault="00C9622D" w:rsidP="00C9622D">
      <w:pPr>
        <w:jc w:val="center"/>
        <w:rPr>
          <w:rFonts w:ascii="Arial" w:hAnsi="Arial" w:cs="Arial"/>
          <w:b/>
          <w:sz w:val="80"/>
          <w:szCs w:val="80"/>
          <w:lang w:val="es-SV"/>
        </w:rPr>
      </w:pPr>
    </w:p>
    <w:p w14:paraId="2CC14D26" w14:textId="77777777" w:rsidR="00C9622D" w:rsidRPr="00BE5FA7" w:rsidRDefault="00C9622D" w:rsidP="00C9622D">
      <w:pPr>
        <w:rPr>
          <w:rFonts w:ascii="Arial" w:hAnsi="Arial" w:cs="Arial"/>
          <w:b/>
          <w:sz w:val="22"/>
          <w:szCs w:val="22"/>
          <w:lang w:val="es-SV"/>
        </w:rPr>
      </w:pPr>
    </w:p>
    <w:p w14:paraId="0EB97BE1" w14:textId="77777777" w:rsidR="00C9622D" w:rsidRPr="00BE5FA7" w:rsidRDefault="00F80CA1" w:rsidP="00C9622D">
      <w:pPr>
        <w:rPr>
          <w:rFonts w:ascii="Arial" w:hAnsi="Arial" w:cs="Arial"/>
          <w:sz w:val="22"/>
          <w:szCs w:val="22"/>
          <w:lang w:val="es-SV"/>
        </w:rPr>
      </w:pPr>
      <w:r w:rsidRPr="00BE5FA7">
        <w:rPr>
          <w:rFonts w:ascii="Arial" w:hAnsi="Arial" w:cs="Arial"/>
          <w:noProof/>
          <w:sz w:val="22"/>
          <w:szCs w:val="22"/>
          <w:lang w:val="es-SV" w:eastAsia="es-SV"/>
        </w:rPr>
        <mc:AlternateContent>
          <mc:Choice Requires="wps">
            <w:drawing>
              <wp:anchor distT="0" distB="0" distL="114300" distR="114300" simplePos="0" relativeHeight="251658243" behindDoc="0" locked="0" layoutInCell="1" allowOverlap="1" wp14:anchorId="29693317" wp14:editId="43D9C88E">
                <wp:simplePos x="0" y="0"/>
                <wp:positionH relativeFrom="column">
                  <wp:posOffset>852170</wp:posOffset>
                </wp:positionH>
                <wp:positionV relativeFrom="paragraph">
                  <wp:posOffset>122283</wp:posOffset>
                </wp:positionV>
                <wp:extent cx="4495800" cy="1542415"/>
                <wp:effectExtent l="0" t="0" r="95250" b="958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542415"/>
                        </a:xfrm>
                        <a:prstGeom prst="rect">
                          <a:avLst/>
                        </a:prstGeom>
                        <a:solidFill>
                          <a:srgbClr val="FFFFFF"/>
                        </a:solidFill>
                        <a:ln w="12700">
                          <a:solidFill>
                            <a:srgbClr val="000000"/>
                          </a:solidFill>
                          <a:miter lim="800000"/>
                          <a:headEnd/>
                          <a:tailEnd/>
                        </a:ln>
                        <a:effectLst>
                          <a:outerShdw dist="107763" dir="2700000" algn="ctr" rotWithShape="0">
                            <a:srgbClr val="919191"/>
                          </a:outerShdw>
                        </a:effectLst>
                      </wps:spPr>
                      <wps:txbx>
                        <w:txbxContent>
                          <w:p w14:paraId="24B295B0" w14:textId="77777777" w:rsidR="003E1DCD" w:rsidRPr="003E2440" w:rsidRDefault="003E1DCD" w:rsidP="008E0931">
                            <w:pPr>
                              <w:jc w:val="center"/>
                              <w:rPr>
                                <w:rFonts w:cs="Arial"/>
                                <w:b/>
                                <w:sz w:val="36"/>
                                <w:szCs w:val="36"/>
                              </w:rPr>
                            </w:pPr>
                          </w:p>
                          <w:p w14:paraId="72255501" w14:textId="02BE6523" w:rsidR="003E1DCD" w:rsidRPr="00C54D11" w:rsidRDefault="003E1DCD" w:rsidP="008E0931">
                            <w:pPr>
                              <w:pStyle w:val="Prrafodelista"/>
                              <w:ind w:left="0"/>
                              <w:jc w:val="center"/>
                              <w:rPr>
                                <w:rFonts w:ascii="Arial" w:hAnsi="Arial" w:cs="Courier New"/>
                                <w:b/>
                                <w:i/>
                                <w:iCs/>
                                <w:sz w:val="40"/>
                                <w:szCs w:val="16"/>
                                <w:lang w:val="es-ES"/>
                              </w:rPr>
                            </w:pPr>
                            <w:r w:rsidRPr="00C54D11">
                              <w:rPr>
                                <w:rFonts w:ascii="Arial" w:hAnsi="Arial" w:cs="Courier New"/>
                                <w:b/>
                                <w:i/>
                                <w:iCs/>
                                <w:sz w:val="40"/>
                                <w:szCs w:val="16"/>
                                <w:lang w:val="es-ES"/>
                              </w:rPr>
                              <w:t xml:space="preserve">INSTRUCTIVO PARA LA ADMINISTRACIÓN Y OPERACIÓN DE PAGOS MASIVOS </w:t>
                            </w: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93317" id="Rectangle 2" o:spid="_x0000_s1026" style="position:absolute;margin-left:67.1pt;margin-top:9.65pt;width:354pt;height:1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" strokeweight="1pt">
                <v:shadow on="t" color="#919191" offset="6pt,6pt"/>
                <v:textbox inset="2.51356mm,3.5pt,2.51356mm,3.5pt">
                  <w:txbxContent>
                    <w:p w14:paraId="24B295B0" w14:textId="77777777" w:rsidR="003E1DCD" w:rsidRPr="003E2440" w:rsidRDefault="003E1DCD" w:rsidP="008E0931">
                      <w:pPr>
                        <w:jc w:val="center"/>
                        <w:rPr>
                          <w:rFonts w:cs="Arial"/>
                          <w:b/>
                          <w:sz w:val="36"/>
                          <w:szCs w:val="36"/>
                        </w:rPr>
                      </w:pPr>
                    </w:p>
                    <w:p w14:paraId="72255501" w14:textId="02BE6523" w:rsidR="003E1DCD" w:rsidRPr="00C54D11" w:rsidRDefault="003E1DCD" w:rsidP="008E0931">
                      <w:pPr>
                        <w:pStyle w:val="Prrafodelista"/>
                        <w:ind w:left="0"/>
                        <w:jc w:val="center"/>
                        <w:rPr>
                          <w:rFonts w:ascii="Arial" w:hAnsi="Arial" w:cs="Courier New"/>
                          <w:b/>
                          <w:i/>
                          <w:iCs/>
                          <w:sz w:val="40"/>
                          <w:szCs w:val="16"/>
                          <w:lang w:val="es-ES"/>
                        </w:rPr>
                      </w:pPr>
                      <w:r w:rsidRPr="00C54D11">
                        <w:rPr>
                          <w:rFonts w:ascii="Arial" w:hAnsi="Arial" w:cs="Courier New"/>
                          <w:b/>
                          <w:i/>
                          <w:iCs/>
                          <w:sz w:val="40"/>
                          <w:szCs w:val="16"/>
                          <w:lang w:val="es-ES"/>
                        </w:rPr>
                        <w:t xml:space="preserve">INSTRUCTIVO PARA LA ADMINISTRACIÓN Y OPERACIÓN DE PAGOS MASIVOS </w:t>
                      </w:r>
                    </w:p>
                  </w:txbxContent>
                </v:textbox>
              </v:rect>
            </w:pict>
          </mc:Fallback>
        </mc:AlternateContent>
      </w:r>
    </w:p>
    <w:p w14:paraId="7CD22EBE" w14:textId="77777777" w:rsidR="00C9622D" w:rsidRPr="00BE5FA7" w:rsidRDefault="00C9622D" w:rsidP="00C9622D">
      <w:pPr>
        <w:rPr>
          <w:rFonts w:ascii="Arial" w:hAnsi="Arial" w:cs="Arial"/>
          <w:sz w:val="22"/>
          <w:szCs w:val="22"/>
          <w:lang w:val="es-SV"/>
        </w:rPr>
      </w:pPr>
    </w:p>
    <w:p w14:paraId="26581E38" w14:textId="77777777" w:rsidR="00C9622D" w:rsidRPr="00BE5FA7" w:rsidRDefault="00C9622D" w:rsidP="00C9622D">
      <w:pPr>
        <w:rPr>
          <w:rFonts w:ascii="Arial" w:hAnsi="Arial" w:cs="Arial"/>
          <w:sz w:val="32"/>
          <w:szCs w:val="22"/>
          <w:lang w:val="es-SV"/>
        </w:rPr>
      </w:pPr>
    </w:p>
    <w:p w14:paraId="1D8C131A" w14:textId="77777777" w:rsidR="001F205F" w:rsidRPr="00BE5FA7" w:rsidRDefault="001F205F" w:rsidP="00C9622D">
      <w:pPr>
        <w:rPr>
          <w:rFonts w:ascii="Arial" w:hAnsi="Arial" w:cs="Arial"/>
          <w:sz w:val="32"/>
          <w:szCs w:val="22"/>
          <w:lang w:val="es-SV"/>
        </w:rPr>
      </w:pPr>
    </w:p>
    <w:p w14:paraId="21C58E3C" w14:textId="77777777" w:rsidR="008E0931" w:rsidRPr="00BE5FA7" w:rsidRDefault="008E0931" w:rsidP="00C9622D">
      <w:pPr>
        <w:jc w:val="center"/>
        <w:rPr>
          <w:rFonts w:ascii="Arial" w:hAnsi="Arial" w:cs="Arial"/>
          <w:sz w:val="32"/>
          <w:szCs w:val="22"/>
          <w:lang w:val="es-SV"/>
        </w:rPr>
      </w:pPr>
    </w:p>
    <w:p w14:paraId="32EE59B5" w14:textId="77777777" w:rsidR="008E0931" w:rsidRPr="00BE5FA7" w:rsidRDefault="008E0931" w:rsidP="00C9622D">
      <w:pPr>
        <w:jc w:val="center"/>
        <w:rPr>
          <w:rFonts w:ascii="Arial" w:hAnsi="Arial" w:cs="Arial"/>
          <w:sz w:val="32"/>
          <w:szCs w:val="22"/>
          <w:lang w:val="es-SV"/>
        </w:rPr>
      </w:pPr>
    </w:p>
    <w:p w14:paraId="7CF43A49" w14:textId="77777777" w:rsidR="008E0931" w:rsidRPr="00BE5FA7" w:rsidRDefault="008E0931" w:rsidP="00C9622D">
      <w:pPr>
        <w:jc w:val="center"/>
        <w:rPr>
          <w:rFonts w:ascii="Arial" w:hAnsi="Arial" w:cs="Arial"/>
          <w:sz w:val="32"/>
          <w:szCs w:val="22"/>
          <w:lang w:val="es-SV"/>
        </w:rPr>
      </w:pPr>
    </w:p>
    <w:p w14:paraId="406CF1F0" w14:textId="77777777" w:rsidR="00C9622D" w:rsidRPr="00BE5FA7" w:rsidRDefault="00C9622D" w:rsidP="00C9622D">
      <w:pPr>
        <w:rPr>
          <w:rFonts w:ascii="Arial" w:hAnsi="Arial" w:cs="Arial"/>
          <w:sz w:val="22"/>
          <w:szCs w:val="22"/>
          <w:lang w:val="es-SV"/>
        </w:rPr>
      </w:pPr>
    </w:p>
    <w:p w14:paraId="2E8A61ED" w14:textId="77777777" w:rsidR="00C9622D" w:rsidRPr="00BE5FA7" w:rsidRDefault="00C9622D" w:rsidP="00C9622D">
      <w:pPr>
        <w:rPr>
          <w:rFonts w:ascii="Arial" w:hAnsi="Arial" w:cs="Arial"/>
          <w:sz w:val="22"/>
          <w:szCs w:val="22"/>
          <w:lang w:val="es-SV"/>
        </w:rPr>
      </w:pPr>
    </w:p>
    <w:p w14:paraId="0DDB7D7E" w14:textId="77777777" w:rsidR="00C9622D" w:rsidRPr="00BE5FA7" w:rsidRDefault="00C9622D" w:rsidP="00C9622D">
      <w:pPr>
        <w:rPr>
          <w:rFonts w:ascii="Arial" w:hAnsi="Arial" w:cs="Arial"/>
          <w:sz w:val="22"/>
          <w:szCs w:val="22"/>
          <w:lang w:val="es-SV"/>
        </w:rPr>
      </w:pPr>
    </w:p>
    <w:p w14:paraId="386A0DAF" w14:textId="77777777" w:rsidR="00C9622D" w:rsidRPr="00BE5FA7" w:rsidRDefault="00C9622D" w:rsidP="00C9622D">
      <w:pPr>
        <w:rPr>
          <w:rFonts w:ascii="Arial" w:hAnsi="Arial" w:cs="Arial"/>
          <w:sz w:val="22"/>
          <w:szCs w:val="22"/>
          <w:lang w:val="es-SV"/>
        </w:rPr>
      </w:pPr>
    </w:p>
    <w:p w14:paraId="579BD448" w14:textId="77777777" w:rsidR="00C9622D" w:rsidRPr="00BE5FA7" w:rsidRDefault="00C9622D" w:rsidP="00C9622D">
      <w:pPr>
        <w:rPr>
          <w:rFonts w:ascii="Arial" w:hAnsi="Arial" w:cs="Arial"/>
          <w:sz w:val="22"/>
          <w:szCs w:val="22"/>
          <w:lang w:val="es-SV"/>
        </w:rPr>
      </w:pPr>
    </w:p>
    <w:p w14:paraId="102BA29B" w14:textId="77777777" w:rsidR="00C9622D" w:rsidRPr="00BE5FA7" w:rsidRDefault="00C9622D" w:rsidP="00C9622D">
      <w:pPr>
        <w:rPr>
          <w:rFonts w:ascii="Arial" w:hAnsi="Arial" w:cs="Arial"/>
          <w:sz w:val="22"/>
          <w:szCs w:val="22"/>
          <w:lang w:val="es-SV"/>
        </w:rPr>
      </w:pPr>
    </w:p>
    <w:p w14:paraId="7509BC9E" w14:textId="77777777" w:rsidR="00C9622D" w:rsidRPr="00BE5FA7" w:rsidRDefault="00C9622D" w:rsidP="00C9622D">
      <w:pPr>
        <w:rPr>
          <w:rFonts w:ascii="Arial" w:hAnsi="Arial" w:cs="Arial"/>
          <w:sz w:val="22"/>
          <w:szCs w:val="22"/>
          <w:lang w:val="es-SV"/>
        </w:rPr>
      </w:pPr>
    </w:p>
    <w:p w14:paraId="1195EEF7" w14:textId="77777777" w:rsidR="00C9622D" w:rsidRPr="00BE5FA7" w:rsidRDefault="00C9622D" w:rsidP="00C9622D">
      <w:pPr>
        <w:rPr>
          <w:rFonts w:ascii="Arial" w:hAnsi="Arial" w:cs="Arial"/>
          <w:sz w:val="22"/>
          <w:szCs w:val="22"/>
          <w:lang w:val="es-SV"/>
        </w:rPr>
      </w:pPr>
    </w:p>
    <w:p w14:paraId="3FFD2D0F" w14:textId="77777777" w:rsidR="00C9622D" w:rsidRPr="00BE5FA7" w:rsidRDefault="00C9622D" w:rsidP="00C9622D">
      <w:pPr>
        <w:rPr>
          <w:rFonts w:ascii="Arial" w:hAnsi="Arial" w:cs="Arial"/>
          <w:sz w:val="22"/>
          <w:szCs w:val="22"/>
          <w:lang w:val="es-SV"/>
        </w:rPr>
      </w:pPr>
    </w:p>
    <w:p w14:paraId="6EB65C2F" w14:textId="77777777" w:rsidR="00C9622D" w:rsidRPr="00BE5FA7" w:rsidRDefault="00C9622D" w:rsidP="00C9622D">
      <w:pPr>
        <w:jc w:val="center"/>
        <w:rPr>
          <w:rFonts w:ascii="Arial" w:hAnsi="Arial" w:cs="Arial"/>
          <w:sz w:val="22"/>
          <w:szCs w:val="22"/>
          <w:lang w:val="es-SV"/>
        </w:rPr>
      </w:pPr>
    </w:p>
    <w:p w14:paraId="64FB58B4" w14:textId="77777777" w:rsidR="00C9622D" w:rsidRPr="00BE5FA7" w:rsidRDefault="00C9622D" w:rsidP="00C9622D">
      <w:pPr>
        <w:rPr>
          <w:rFonts w:ascii="Arial" w:hAnsi="Arial" w:cs="Arial"/>
          <w:sz w:val="22"/>
          <w:szCs w:val="22"/>
          <w:lang w:val="es-SV"/>
        </w:rPr>
      </w:pPr>
    </w:p>
    <w:p w14:paraId="1986E54F" w14:textId="77777777" w:rsidR="008E0931" w:rsidRPr="00BE5FA7" w:rsidRDefault="008E0931" w:rsidP="00C9622D">
      <w:pPr>
        <w:rPr>
          <w:rFonts w:ascii="Arial" w:hAnsi="Arial" w:cs="Arial"/>
          <w:sz w:val="22"/>
          <w:szCs w:val="22"/>
          <w:lang w:val="es-SV"/>
        </w:rPr>
      </w:pPr>
    </w:p>
    <w:p w14:paraId="6717BB19" w14:textId="77777777" w:rsidR="008E0931" w:rsidRPr="00BE5FA7" w:rsidRDefault="008E0931" w:rsidP="00C9622D">
      <w:pPr>
        <w:rPr>
          <w:rFonts w:ascii="Arial" w:hAnsi="Arial" w:cs="Arial"/>
          <w:sz w:val="22"/>
          <w:szCs w:val="22"/>
          <w:lang w:val="es-SV"/>
        </w:rPr>
      </w:pPr>
    </w:p>
    <w:p w14:paraId="14719F27" w14:textId="77777777" w:rsidR="008E0931" w:rsidRPr="00BE5FA7" w:rsidRDefault="008E0931" w:rsidP="00C9622D">
      <w:pPr>
        <w:rPr>
          <w:rFonts w:ascii="Arial" w:hAnsi="Arial" w:cs="Arial"/>
          <w:sz w:val="22"/>
          <w:szCs w:val="22"/>
          <w:lang w:val="es-SV"/>
        </w:rPr>
      </w:pPr>
    </w:p>
    <w:p w14:paraId="65F35250" w14:textId="77777777" w:rsidR="008E0931" w:rsidRPr="00BE5FA7" w:rsidRDefault="008E0931" w:rsidP="00C9622D">
      <w:pPr>
        <w:rPr>
          <w:rFonts w:ascii="Arial" w:hAnsi="Arial" w:cs="Arial"/>
          <w:sz w:val="22"/>
          <w:szCs w:val="22"/>
          <w:lang w:val="es-SV"/>
        </w:rPr>
      </w:pPr>
    </w:p>
    <w:p w14:paraId="42A9BB47" w14:textId="77777777" w:rsidR="008E0931" w:rsidRPr="00BE5FA7" w:rsidRDefault="008E0931" w:rsidP="00C9622D">
      <w:pPr>
        <w:rPr>
          <w:rFonts w:ascii="Arial" w:hAnsi="Arial" w:cs="Arial"/>
          <w:sz w:val="22"/>
          <w:szCs w:val="22"/>
          <w:lang w:val="es-SV"/>
        </w:rPr>
      </w:pPr>
    </w:p>
    <w:p w14:paraId="04826212" w14:textId="77777777" w:rsidR="008E0931" w:rsidRPr="00BE5FA7" w:rsidRDefault="008E0931" w:rsidP="00C9622D">
      <w:pPr>
        <w:rPr>
          <w:rFonts w:ascii="Arial" w:hAnsi="Arial" w:cs="Arial"/>
          <w:sz w:val="22"/>
          <w:szCs w:val="22"/>
          <w:lang w:val="es-SV"/>
        </w:rPr>
      </w:pPr>
    </w:p>
    <w:p w14:paraId="18F906C3" w14:textId="77777777" w:rsidR="008E0931" w:rsidRPr="00BE5FA7" w:rsidRDefault="008E0931" w:rsidP="00C9622D">
      <w:pPr>
        <w:rPr>
          <w:rFonts w:ascii="Arial" w:hAnsi="Arial" w:cs="Arial"/>
          <w:sz w:val="22"/>
          <w:szCs w:val="22"/>
          <w:lang w:val="es-SV"/>
        </w:rPr>
      </w:pPr>
    </w:p>
    <w:p w14:paraId="24851F7D" w14:textId="77777777" w:rsidR="008E0931" w:rsidRPr="00BE5FA7" w:rsidRDefault="008E0931" w:rsidP="00C9622D">
      <w:pPr>
        <w:rPr>
          <w:rFonts w:ascii="Arial" w:hAnsi="Arial" w:cs="Arial"/>
          <w:sz w:val="22"/>
          <w:szCs w:val="22"/>
          <w:lang w:val="es-SV"/>
        </w:rPr>
      </w:pPr>
    </w:p>
    <w:p w14:paraId="2215BE2D" w14:textId="77777777" w:rsidR="008E0931" w:rsidRPr="00BE5FA7" w:rsidRDefault="008E0931" w:rsidP="00C9622D">
      <w:pPr>
        <w:rPr>
          <w:rFonts w:ascii="Arial" w:hAnsi="Arial" w:cs="Arial"/>
          <w:sz w:val="22"/>
          <w:szCs w:val="22"/>
          <w:lang w:val="es-SV"/>
        </w:rPr>
      </w:pPr>
      <w:r w:rsidRPr="00BE5FA7">
        <w:rPr>
          <w:rFonts w:ascii="Arial" w:hAnsi="Arial" w:cs="Arial"/>
          <w:noProof/>
          <w:sz w:val="22"/>
          <w:szCs w:val="22"/>
          <w:lang w:val="es-SV" w:eastAsia="es-SV"/>
        </w:rPr>
        <mc:AlternateContent>
          <mc:Choice Requires="wps">
            <w:drawing>
              <wp:anchor distT="0" distB="0" distL="114300" distR="114300" simplePos="0" relativeHeight="251658244" behindDoc="0" locked="0" layoutInCell="1" allowOverlap="1" wp14:anchorId="14EFC934" wp14:editId="545F7332">
                <wp:simplePos x="0" y="0"/>
                <wp:positionH relativeFrom="column">
                  <wp:posOffset>1110615</wp:posOffset>
                </wp:positionH>
                <wp:positionV relativeFrom="paragraph">
                  <wp:posOffset>88900</wp:posOffset>
                </wp:positionV>
                <wp:extent cx="3960495" cy="9525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0495" cy="952500"/>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78E49C" w14:textId="77777777" w:rsidR="003E1DCD" w:rsidRPr="00C94F51" w:rsidRDefault="003E1DCD" w:rsidP="008E0931">
                            <w:pPr>
                              <w:jc w:val="center"/>
                              <w:rPr>
                                <w:rFonts w:ascii="Arial" w:hAnsi="Arial" w:cs="Courier New"/>
                                <w:b/>
                                <w:i/>
                                <w:snapToGrid w:val="0"/>
                                <w:color w:val="000000"/>
                              </w:rPr>
                            </w:pPr>
                            <w:r w:rsidRPr="00C94F51">
                              <w:rPr>
                                <w:rFonts w:ascii="Arial" w:hAnsi="Arial" w:cs="Courier New"/>
                                <w:b/>
                                <w:i/>
                                <w:snapToGrid w:val="0"/>
                                <w:color w:val="000000"/>
                              </w:rPr>
                              <w:t>GERENCIA DE OPERACIONES FINANCIERAS</w:t>
                            </w:r>
                          </w:p>
                          <w:p w14:paraId="67E739BE" w14:textId="77777777" w:rsidR="003E1DCD" w:rsidRPr="00C94F51" w:rsidRDefault="003E1DCD" w:rsidP="008E0931">
                            <w:pPr>
                              <w:jc w:val="center"/>
                              <w:rPr>
                                <w:rFonts w:ascii="Arial" w:hAnsi="Arial" w:cs="Courier New"/>
                                <w:b/>
                                <w:i/>
                                <w:snapToGrid w:val="0"/>
                                <w:color w:val="000000"/>
                              </w:rPr>
                            </w:pPr>
                            <w:r w:rsidRPr="00C94F51">
                              <w:rPr>
                                <w:rFonts w:ascii="Arial" w:hAnsi="Arial" w:cs="Courier New"/>
                                <w:b/>
                                <w:i/>
                                <w:snapToGrid w:val="0"/>
                                <w:color w:val="000000"/>
                              </w:rPr>
                              <w:t>Departamento de Pagos y Valores</w:t>
                            </w:r>
                          </w:p>
                          <w:p w14:paraId="2C9F1EA4" w14:textId="77777777" w:rsidR="003E1DCD" w:rsidRPr="00C94F51" w:rsidRDefault="003E1DCD" w:rsidP="008E0931">
                            <w:pPr>
                              <w:jc w:val="center"/>
                              <w:rPr>
                                <w:rFonts w:ascii="Arial" w:hAnsi="Arial" w:cs="Courier New"/>
                                <w:b/>
                                <w:i/>
                                <w:snapToGrid w:val="0"/>
                                <w:color w:val="000000"/>
                              </w:rPr>
                            </w:pPr>
                          </w:p>
                          <w:p w14:paraId="6F6753A4" w14:textId="5E99FCE1" w:rsidR="003E1DCD" w:rsidRPr="00C94F51" w:rsidRDefault="00B9130B" w:rsidP="00D63F12">
                            <w:pPr>
                              <w:jc w:val="center"/>
                              <w:rPr>
                                <w:rFonts w:ascii="Arial" w:hAnsi="Arial" w:cs="Courier New"/>
                                <w:b/>
                                <w:i/>
                                <w:snapToGrid w:val="0"/>
                                <w:color w:val="000000"/>
                              </w:rPr>
                            </w:pPr>
                            <w:r>
                              <w:rPr>
                                <w:rFonts w:ascii="Arial" w:hAnsi="Arial" w:cs="Courier New"/>
                                <w:b/>
                                <w:i/>
                                <w:snapToGrid w:val="0"/>
                                <w:color w:val="000000"/>
                              </w:rPr>
                              <w:t>Febrero</w:t>
                            </w:r>
                            <w:r w:rsidR="003E1DCD">
                              <w:rPr>
                                <w:rFonts w:ascii="Arial" w:hAnsi="Arial" w:cs="Courier New"/>
                                <w:b/>
                                <w:i/>
                                <w:snapToGrid w:val="0"/>
                                <w:color w:val="000000"/>
                              </w:rPr>
                              <w:t xml:space="preserve"> de 2023</w:t>
                            </w:r>
                          </w:p>
                          <w:p w14:paraId="6A00A127" w14:textId="77777777" w:rsidR="003E1DCD" w:rsidRPr="00C94F51" w:rsidRDefault="003E1DCD" w:rsidP="008E0931">
                            <w:pPr>
                              <w:jc w:val="center"/>
                              <w:rPr>
                                <w:rFonts w:ascii="Arial" w:hAnsi="Arial" w:cs="Courier New"/>
                                <w:b/>
                                <w:i/>
                                <w:snapToGrid w:val="0"/>
                                <w:color w:val="000000"/>
                              </w:rPr>
                            </w:pPr>
                          </w:p>
                          <w:p w14:paraId="353348A2" w14:textId="77777777" w:rsidR="003E1DCD" w:rsidRDefault="003E1DCD" w:rsidP="008E0931">
                            <w:pPr>
                              <w:jc w:val="center"/>
                              <w:rPr>
                                <w:b/>
                                <w:i/>
                                <w:snapToGrid w:val="0"/>
                                <w:color w:val="000000"/>
                              </w:rPr>
                            </w:pPr>
                          </w:p>
                          <w:p w14:paraId="0B76452C" w14:textId="77777777" w:rsidR="003E1DCD" w:rsidRDefault="003E1DCD" w:rsidP="008E0931">
                            <w:pPr>
                              <w:jc w:val="center"/>
                              <w:rPr>
                                <w:b/>
                                <w:i/>
                                <w:snapToGrid w:val="0"/>
                                <w:color w:val="000000"/>
                              </w:rPr>
                            </w:pPr>
                          </w:p>
                        </w:txbxContent>
                      </wps:txbx>
                      <wps:bodyPr rot="0" vert="horz" wrap="squar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FC934" id="Rectangle 6" o:spid="_x0000_s1027" style="position:absolute;margin-left:87.45pt;margin-top:7pt;width:311.85pt;height: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" filled="f" fillcolor="#618ffd" stroked="f" strokeweight="1pt">
                <v:textbox inset="2.51356mm,3.5pt,2.51356mm,3.5pt">
                  <w:txbxContent>
                    <w:p w14:paraId="7B78E49C" w14:textId="77777777" w:rsidR="003E1DCD" w:rsidRPr="00C94F51" w:rsidRDefault="003E1DCD" w:rsidP="008E0931">
                      <w:pPr>
                        <w:jc w:val="center"/>
                        <w:rPr>
                          <w:rFonts w:ascii="Arial" w:hAnsi="Arial" w:cs="Courier New"/>
                          <w:b/>
                          <w:i/>
                          <w:snapToGrid w:val="0"/>
                          <w:color w:val="000000"/>
                        </w:rPr>
                      </w:pPr>
                      <w:r w:rsidRPr="00C94F51">
                        <w:rPr>
                          <w:rFonts w:ascii="Arial" w:hAnsi="Arial" w:cs="Courier New"/>
                          <w:b/>
                          <w:i/>
                          <w:snapToGrid w:val="0"/>
                          <w:color w:val="000000"/>
                        </w:rPr>
                        <w:t>GERENCIA DE OPERACIONES FINANCIERAS</w:t>
                      </w:r>
                    </w:p>
                    <w:p w14:paraId="67E739BE" w14:textId="77777777" w:rsidR="003E1DCD" w:rsidRPr="00C94F51" w:rsidRDefault="003E1DCD" w:rsidP="008E0931">
                      <w:pPr>
                        <w:jc w:val="center"/>
                        <w:rPr>
                          <w:rFonts w:ascii="Arial" w:hAnsi="Arial" w:cs="Courier New"/>
                          <w:b/>
                          <w:i/>
                          <w:snapToGrid w:val="0"/>
                          <w:color w:val="000000"/>
                        </w:rPr>
                      </w:pPr>
                      <w:r w:rsidRPr="00C94F51">
                        <w:rPr>
                          <w:rFonts w:ascii="Arial" w:hAnsi="Arial" w:cs="Courier New"/>
                          <w:b/>
                          <w:i/>
                          <w:snapToGrid w:val="0"/>
                          <w:color w:val="000000"/>
                        </w:rPr>
                        <w:t>Departamento de Pagos y Valores</w:t>
                      </w:r>
                    </w:p>
                    <w:p w14:paraId="2C9F1EA4" w14:textId="77777777" w:rsidR="003E1DCD" w:rsidRPr="00C94F51" w:rsidRDefault="003E1DCD" w:rsidP="008E0931">
                      <w:pPr>
                        <w:jc w:val="center"/>
                        <w:rPr>
                          <w:rFonts w:ascii="Arial" w:hAnsi="Arial" w:cs="Courier New"/>
                          <w:b/>
                          <w:i/>
                          <w:snapToGrid w:val="0"/>
                          <w:color w:val="000000"/>
                        </w:rPr>
                      </w:pPr>
                    </w:p>
                    <w:p w14:paraId="6F6753A4" w14:textId="5E99FCE1" w:rsidR="003E1DCD" w:rsidRPr="00C94F51" w:rsidRDefault="00B9130B" w:rsidP="00D63F12">
                      <w:pPr>
                        <w:jc w:val="center"/>
                        <w:rPr>
                          <w:rFonts w:ascii="Arial" w:hAnsi="Arial" w:cs="Courier New"/>
                          <w:b/>
                          <w:i/>
                          <w:snapToGrid w:val="0"/>
                          <w:color w:val="000000"/>
                        </w:rPr>
                      </w:pPr>
                      <w:r>
                        <w:rPr>
                          <w:rFonts w:ascii="Arial" w:hAnsi="Arial" w:cs="Courier New"/>
                          <w:b/>
                          <w:i/>
                          <w:snapToGrid w:val="0"/>
                          <w:color w:val="000000"/>
                        </w:rPr>
                        <w:t>Febrero</w:t>
                      </w:r>
                      <w:r w:rsidR="003E1DCD">
                        <w:rPr>
                          <w:rFonts w:ascii="Arial" w:hAnsi="Arial" w:cs="Courier New"/>
                          <w:b/>
                          <w:i/>
                          <w:snapToGrid w:val="0"/>
                          <w:color w:val="000000"/>
                        </w:rPr>
                        <w:t xml:space="preserve"> de 2023</w:t>
                      </w:r>
                    </w:p>
                    <w:p w14:paraId="6A00A127" w14:textId="77777777" w:rsidR="003E1DCD" w:rsidRPr="00C94F51" w:rsidRDefault="003E1DCD" w:rsidP="008E0931">
                      <w:pPr>
                        <w:jc w:val="center"/>
                        <w:rPr>
                          <w:rFonts w:ascii="Arial" w:hAnsi="Arial" w:cs="Courier New"/>
                          <w:b/>
                          <w:i/>
                          <w:snapToGrid w:val="0"/>
                          <w:color w:val="000000"/>
                        </w:rPr>
                      </w:pPr>
                    </w:p>
                    <w:p w14:paraId="353348A2" w14:textId="77777777" w:rsidR="003E1DCD" w:rsidRDefault="003E1DCD" w:rsidP="008E0931">
                      <w:pPr>
                        <w:jc w:val="center"/>
                        <w:rPr>
                          <w:b/>
                          <w:i/>
                          <w:snapToGrid w:val="0"/>
                          <w:color w:val="000000"/>
                        </w:rPr>
                      </w:pPr>
                    </w:p>
                    <w:p w14:paraId="0B76452C" w14:textId="77777777" w:rsidR="003E1DCD" w:rsidRDefault="003E1DCD" w:rsidP="008E0931">
                      <w:pPr>
                        <w:jc w:val="center"/>
                        <w:rPr>
                          <w:b/>
                          <w:i/>
                          <w:snapToGrid w:val="0"/>
                          <w:color w:val="000000"/>
                        </w:rPr>
                      </w:pPr>
                    </w:p>
                  </w:txbxContent>
                </v:textbox>
              </v:rect>
            </w:pict>
          </mc:Fallback>
        </mc:AlternateContent>
      </w:r>
    </w:p>
    <w:p w14:paraId="372D8DEE" w14:textId="77777777" w:rsidR="008E0931" w:rsidRPr="00BE5FA7" w:rsidRDefault="008E0931" w:rsidP="00C9622D">
      <w:pPr>
        <w:rPr>
          <w:rFonts w:ascii="Arial" w:hAnsi="Arial" w:cs="Arial"/>
          <w:sz w:val="22"/>
          <w:szCs w:val="22"/>
          <w:lang w:val="es-SV"/>
        </w:rPr>
      </w:pPr>
    </w:p>
    <w:p w14:paraId="69AAA52C" w14:textId="77777777" w:rsidR="008E0931" w:rsidRPr="00BE5FA7" w:rsidRDefault="008E0931" w:rsidP="00C9622D">
      <w:pPr>
        <w:rPr>
          <w:rFonts w:ascii="Arial" w:hAnsi="Arial" w:cs="Arial"/>
          <w:sz w:val="22"/>
          <w:szCs w:val="22"/>
          <w:lang w:val="es-SV"/>
        </w:rPr>
      </w:pPr>
    </w:p>
    <w:p w14:paraId="528F6E49" w14:textId="77777777" w:rsidR="008E0931" w:rsidRPr="00BE5FA7" w:rsidRDefault="008E0931" w:rsidP="00C9622D">
      <w:pPr>
        <w:rPr>
          <w:rFonts w:ascii="Arial" w:hAnsi="Arial" w:cs="Arial"/>
          <w:sz w:val="22"/>
          <w:szCs w:val="22"/>
          <w:lang w:val="es-SV"/>
        </w:rPr>
      </w:pPr>
    </w:p>
    <w:p w14:paraId="6386D689" w14:textId="77777777" w:rsidR="008E0931" w:rsidRPr="00BE5FA7" w:rsidRDefault="008E0931" w:rsidP="00C9622D">
      <w:pPr>
        <w:rPr>
          <w:rFonts w:ascii="Arial" w:hAnsi="Arial" w:cs="Arial"/>
          <w:sz w:val="22"/>
          <w:szCs w:val="22"/>
          <w:lang w:val="es-SV"/>
        </w:rPr>
      </w:pPr>
    </w:p>
    <w:p w14:paraId="317A64F7" w14:textId="77777777" w:rsidR="00C7598B" w:rsidRDefault="00C7598B" w:rsidP="006A38EC">
      <w:pPr>
        <w:spacing w:after="200" w:line="276" w:lineRule="auto"/>
        <w:jc w:val="center"/>
        <w:rPr>
          <w:rFonts w:ascii="Arial" w:hAnsi="Arial" w:cs="Arial"/>
          <w:b/>
          <w:lang w:val="es-MX"/>
        </w:rPr>
      </w:pPr>
    </w:p>
    <w:p w14:paraId="48B3F0BF" w14:textId="11CD3863" w:rsidR="006A38EC" w:rsidRDefault="001E04D1" w:rsidP="009512A5">
      <w:pPr>
        <w:spacing w:before="120" w:after="120" w:line="360" w:lineRule="auto"/>
        <w:jc w:val="center"/>
        <w:rPr>
          <w:rFonts w:ascii="Arial" w:hAnsi="Arial" w:cs="Arial"/>
          <w:b/>
          <w:sz w:val="28"/>
          <w:szCs w:val="28"/>
          <w:lang w:val="es-MX"/>
        </w:rPr>
      </w:pPr>
      <w:r>
        <w:rPr>
          <w:rFonts w:ascii="Arial" w:hAnsi="Arial" w:cs="Arial"/>
          <w:b/>
          <w:sz w:val="28"/>
          <w:szCs w:val="28"/>
          <w:lang w:val="es-MX"/>
        </w:rPr>
        <w:lastRenderedPageBreak/>
        <w:t>Í</w:t>
      </w:r>
      <w:r w:rsidR="006A38EC" w:rsidRPr="00AC005C">
        <w:rPr>
          <w:rFonts w:ascii="Arial" w:hAnsi="Arial" w:cs="Arial"/>
          <w:b/>
          <w:sz w:val="28"/>
          <w:szCs w:val="28"/>
          <w:lang w:val="es-MX"/>
        </w:rPr>
        <w:t>NDICE</w:t>
      </w:r>
    </w:p>
    <w:p w14:paraId="6A94B3F4" w14:textId="65C8766C" w:rsidR="001E04D1" w:rsidRDefault="001E04D1" w:rsidP="009512A5">
      <w:pPr>
        <w:spacing w:before="120" w:after="120" w:line="360" w:lineRule="auto"/>
        <w:jc w:val="center"/>
        <w:rPr>
          <w:rFonts w:ascii="Arial" w:hAnsi="Arial" w:cs="Arial"/>
          <w:b/>
          <w:sz w:val="28"/>
          <w:szCs w:val="28"/>
          <w:lang w:val="es-MX"/>
        </w:rPr>
      </w:pPr>
    </w:p>
    <w:p w14:paraId="567404D2" w14:textId="77777777" w:rsidR="001E04D1" w:rsidRPr="00AC005C" w:rsidRDefault="001E04D1" w:rsidP="009512A5">
      <w:pPr>
        <w:spacing w:before="120" w:after="120" w:line="360" w:lineRule="auto"/>
        <w:jc w:val="center"/>
        <w:rPr>
          <w:rFonts w:ascii="Arial" w:eastAsia="Calibri" w:hAnsi="Arial" w:cs="Arial"/>
          <w:b/>
          <w:sz w:val="28"/>
          <w:szCs w:val="28"/>
          <w:lang w:val="es-MX" w:eastAsia="en-US"/>
        </w:rPr>
      </w:pPr>
    </w:p>
    <w:p w14:paraId="279EA130" w14:textId="7F0BBF8B" w:rsidR="00A41017" w:rsidRDefault="00FB60C4">
      <w:pPr>
        <w:pStyle w:val="TDC1"/>
        <w:rPr>
          <w:rFonts w:asciiTheme="minorHAnsi" w:eastAsiaTheme="minorEastAsia" w:hAnsiTheme="minorHAnsi" w:cstheme="minorBidi"/>
          <w:noProof/>
          <w:sz w:val="22"/>
          <w:szCs w:val="22"/>
          <w:lang w:val="es-SV" w:eastAsia="es-SV"/>
        </w:rPr>
      </w:pPr>
      <w:r w:rsidRPr="00AC005C">
        <w:rPr>
          <w:rStyle w:val="Hipervnculo"/>
          <w:rFonts w:cs="Arial"/>
          <w:noProof/>
          <w:szCs w:val="24"/>
        </w:rPr>
        <w:fldChar w:fldCharType="begin"/>
      </w:r>
      <w:r w:rsidRPr="00AC005C">
        <w:rPr>
          <w:rStyle w:val="Hipervnculo"/>
          <w:rFonts w:cs="Arial"/>
          <w:noProof/>
          <w:szCs w:val="24"/>
        </w:rPr>
        <w:instrText xml:space="preserve"> TOC \o "1-2" \h \z \u </w:instrText>
      </w:r>
      <w:r w:rsidRPr="00AC005C">
        <w:rPr>
          <w:rStyle w:val="Hipervnculo"/>
          <w:rFonts w:cs="Arial"/>
          <w:noProof/>
          <w:szCs w:val="24"/>
        </w:rPr>
        <w:fldChar w:fldCharType="separate"/>
      </w:r>
      <w:hyperlink w:anchor="_Toc126599746" w:history="1">
        <w:r w:rsidR="00A41017" w:rsidRPr="00CB7EB7">
          <w:rPr>
            <w:rStyle w:val="Hipervnculo"/>
            <w:noProof/>
          </w:rPr>
          <w:t>1.</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GENERALIDADES</w:t>
        </w:r>
        <w:r w:rsidR="00A41017">
          <w:rPr>
            <w:noProof/>
            <w:webHidden/>
          </w:rPr>
          <w:tab/>
        </w:r>
        <w:r w:rsidR="00A41017">
          <w:rPr>
            <w:noProof/>
            <w:webHidden/>
          </w:rPr>
          <w:fldChar w:fldCharType="begin"/>
        </w:r>
        <w:r w:rsidR="00A41017">
          <w:rPr>
            <w:noProof/>
            <w:webHidden/>
          </w:rPr>
          <w:instrText xml:space="preserve"> PAGEREF _Toc126599746 \h </w:instrText>
        </w:r>
        <w:r w:rsidR="00A41017">
          <w:rPr>
            <w:noProof/>
            <w:webHidden/>
          </w:rPr>
        </w:r>
        <w:r w:rsidR="00A41017">
          <w:rPr>
            <w:noProof/>
            <w:webHidden/>
          </w:rPr>
          <w:fldChar w:fldCharType="separate"/>
        </w:r>
        <w:r w:rsidR="00A41017">
          <w:rPr>
            <w:noProof/>
            <w:webHidden/>
          </w:rPr>
          <w:t>3</w:t>
        </w:r>
        <w:r w:rsidR="00A41017">
          <w:rPr>
            <w:noProof/>
            <w:webHidden/>
          </w:rPr>
          <w:fldChar w:fldCharType="end"/>
        </w:r>
      </w:hyperlink>
    </w:p>
    <w:p w14:paraId="0B9A867B" w14:textId="5BF5BC02" w:rsidR="00A41017" w:rsidRDefault="00000000">
      <w:pPr>
        <w:pStyle w:val="TDC2"/>
        <w:tabs>
          <w:tab w:val="left" w:pos="880"/>
          <w:tab w:val="right" w:leader="dot" w:pos="8828"/>
        </w:tabs>
        <w:rPr>
          <w:rFonts w:asciiTheme="minorHAnsi" w:eastAsiaTheme="minorEastAsia" w:hAnsiTheme="minorHAnsi" w:cstheme="minorBidi"/>
          <w:noProof/>
          <w:sz w:val="22"/>
          <w:szCs w:val="22"/>
          <w:lang w:val="es-SV" w:eastAsia="es-SV"/>
        </w:rPr>
      </w:pPr>
      <w:hyperlink w:anchor="_Toc126599747" w:history="1">
        <w:r w:rsidR="00A41017" w:rsidRPr="00CB7EB7">
          <w:rPr>
            <w:rStyle w:val="Hipervnculo"/>
            <w:noProof/>
          </w:rPr>
          <w:t>1.1.</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Antecedentes</w:t>
        </w:r>
        <w:r w:rsidR="00A41017">
          <w:rPr>
            <w:noProof/>
            <w:webHidden/>
          </w:rPr>
          <w:tab/>
        </w:r>
        <w:r w:rsidR="00A41017">
          <w:rPr>
            <w:noProof/>
            <w:webHidden/>
          </w:rPr>
          <w:fldChar w:fldCharType="begin"/>
        </w:r>
        <w:r w:rsidR="00A41017">
          <w:rPr>
            <w:noProof/>
            <w:webHidden/>
          </w:rPr>
          <w:instrText xml:space="preserve"> PAGEREF _Toc126599747 \h </w:instrText>
        </w:r>
        <w:r w:rsidR="00A41017">
          <w:rPr>
            <w:noProof/>
            <w:webHidden/>
          </w:rPr>
        </w:r>
        <w:r w:rsidR="00A41017">
          <w:rPr>
            <w:noProof/>
            <w:webHidden/>
          </w:rPr>
          <w:fldChar w:fldCharType="separate"/>
        </w:r>
        <w:r w:rsidR="00A41017">
          <w:rPr>
            <w:noProof/>
            <w:webHidden/>
          </w:rPr>
          <w:t>3</w:t>
        </w:r>
        <w:r w:rsidR="00A41017">
          <w:rPr>
            <w:noProof/>
            <w:webHidden/>
          </w:rPr>
          <w:fldChar w:fldCharType="end"/>
        </w:r>
      </w:hyperlink>
    </w:p>
    <w:p w14:paraId="4225E092" w14:textId="60BB525B" w:rsidR="00A41017" w:rsidRDefault="00000000">
      <w:pPr>
        <w:pStyle w:val="TDC2"/>
        <w:tabs>
          <w:tab w:val="left" w:pos="880"/>
          <w:tab w:val="right" w:leader="dot" w:pos="8828"/>
        </w:tabs>
        <w:rPr>
          <w:rFonts w:asciiTheme="minorHAnsi" w:eastAsiaTheme="minorEastAsia" w:hAnsiTheme="minorHAnsi" w:cstheme="minorBidi"/>
          <w:noProof/>
          <w:sz w:val="22"/>
          <w:szCs w:val="22"/>
          <w:lang w:val="es-SV" w:eastAsia="es-SV"/>
        </w:rPr>
      </w:pPr>
      <w:hyperlink w:anchor="_Toc126599748" w:history="1">
        <w:r w:rsidR="00A41017" w:rsidRPr="00CB7EB7">
          <w:rPr>
            <w:rStyle w:val="Hipervnculo"/>
            <w:noProof/>
          </w:rPr>
          <w:t>1.2.</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Base Legal y Normativa Aplicable</w:t>
        </w:r>
        <w:r w:rsidR="00A41017">
          <w:rPr>
            <w:noProof/>
            <w:webHidden/>
          </w:rPr>
          <w:tab/>
        </w:r>
        <w:r w:rsidR="00A41017">
          <w:rPr>
            <w:noProof/>
            <w:webHidden/>
          </w:rPr>
          <w:fldChar w:fldCharType="begin"/>
        </w:r>
        <w:r w:rsidR="00A41017">
          <w:rPr>
            <w:noProof/>
            <w:webHidden/>
          </w:rPr>
          <w:instrText xml:space="preserve"> PAGEREF _Toc126599748 \h </w:instrText>
        </w:r>
        <w:r w:rsidR="00A41017">
          <w:rPr>
            <w:noProof/>
            <w:webHidden/>
          </w:rPr>
        </w:r>
        <w:r w:rsidR="00A41017">
          <w:rPr>
            <w:noProof/>
            <w:webHidden/>
          </w:rPr>
          <w:fldChar w:fldCharType="separate"/>
        </w:r>
        <w:r w:rsidR="00A41017">
          <w:rPr>
            <w:noProof/>
            <w:webHidden/>
          </w:rPr>
          <w:t>4</w:t>
        </w:r>
        <w:r w:rsidR="00A41017">
          <w:rPr>
            <w:noProof/>
            <w:webHidden/>
          </w:rPr>
          <w:fldChar w:fldCharType="end"/>
        </w:r>
      </w:hyperlink>
    </w:p>
    <w:p w14:paraId="42250A3F" w14:textId="1AD9DEFD" w:rsidR="00A41017" w:rsidRDefault="00000000">
      <w:pPr>
        <w:pStyle w:val="TDC2"/>
        <w:tabs>
          <w:tab w:val="left" w:pos="880"/>
          <w:tab w:val="right" w:leader="dot" w:pos="8828"/>
        </w:tabs>
        <w:rPr>
          <w:rFonts w:asciiTheme="minorHAnsi" w:eastAsiaTheme="minorEastAsia" w:hAnsiTheme="minorHAnsi" w:cstheme="minorBidi"/>
          <w:noProof/>
          <w:sz w:val="22"/>
          <w:szCs w:val="22"/>
          <w:lang w:val="es-SV" w:eastAsia="es-SV"/>
        </w:rPr>
      </w:pPr>
      <w:hyperlink w:anchor="_Toc126599749" w:history="1">
        <w:r w:rsidR="00A41017" w:rsidRPr="00CB7EB7">
          <w:rPr>
            <w:rStyle w:val="Hipervnculo"/>
            <w:noProof/>
          </w:rPr>
          <w:t>1.3.</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Ámbito de aplicación</w:t>
        </w:r>
        <w:r w:rsidR="00A41017">
          <w:rPr>
            <w:noProof/>
            <w:webHidden/>
          </w:rPr>
          <w:tab/>
        </w:r>
        <w:r w:rsidR="00A41017">
          <w:rPr>
            <w:noProof/>
            <w:webHidden/>
          </w:rPr>
          <w:fldChar w:fldCharType="begin"/>
        </w:r>
        <w:r w:rsidR="00A41017">
          <w:rPr>
            <w:noProof/>
            <w:webHidden/>
          </w:rPr>
          <w:instrText xml:space="preserve"> PAGEREF _Toc126599749 \h </w:instrText>
        </w:r>
        <w:r w:rsidR="00A41017">
          <w:rPr>
            <w:noProof/>
            <w:webHidden/>
          </w:rPr>
        </w:r>
        <w:r w:rsidR="00A41017">
          <w:rPr>
            <w:noProof/>
            <w:webHidden/>
          </w:rPr>
          <w:fldChar w:fldCharType="separate"/>
        </w:r>
        <w:r w:rsidR="00A41017">
          <w:rPr>
            <w:noProof/>
            <w:webHidden/>
          </w:rPr>
          <w:t>4</w:t>
        </w:r>
        <w:r w:rsidR="00A41017">
          <w:rPr>
            <w:noProof/>
            <w:webHidden/>
          </w:rPr>
          <w:fldChar w:fldCharType="end"/>
        </w:r>
      </w:hyperlink>
    </w:p>
    <w:p w14:paraId="2206D81F" w14:textId="707D1F25" w:rsidR="00A41017" w:rsidRDefault="00000000">
      <w:pPr>
        <w:pStyle w:val="TDC1"/>
        <w:rPr>
          <w:rFonts w:asciiTheme="minorHAnsi" w:eastAsiaTheme="minorEastAsia" w:hAnsiTheme="minorHAnsi" w:cstheme="minorBidi"/>
          <w:noProof/>
          <w:sz w:val="22"/>
          <w:szCs w:val="22"/>
          <w:lang w:val="es-SV" w:eastAsia="es-SV"/>
        </w:rPr>
      </w:pPr>
      <w:hyperlink w:anchor="_Toc126599750" w:history="1">
        <w:r w:rsidR="00A41017" w:rsidRPr="00CB7EB7">
          <w:rPr>
            <w:rStyle w:val="Hipervnculo"/>
            <w:noProof/>
          </w:rPr>
          <w:t>2.</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OBJETIVO</w:t>
        </w:r>
        <w:r w:rsidR="00A41017">
          <w:rPr>
            <w:noProof/>
            <w:webHidden/>
          </w:rPr>
          <w:tab/>
        </w:r>
        <w:r w:rsidR="00A41017">
          <w:rPr>
            <w:noProof/>
            <w:webHidden/>
          </w:rPr>
          <w:fldChar w:fldCharType="begin"/>
        </w:r>
        <w:r w:rsidR="00A41017">
          <w:rPr>
            <w:noProof/>
            <w:webHidden/>
          </w:rPr>
          <w:instrText xml:space="preserve"> PAGEREF _Toc126599750 \h </w:instrText>
        </w:r>
        <w:r w:rsidR="00A41017">
          <w:rPr>
            <w:noProof/>
            <w:webHidden/>
          </w:rPr>
        </w:r>
        <w:r w:rsidR="00A41017">
          <w:rPr>
            <w:noProof/>
            <w:webHidden/>
          </w:rPr>
          <w:fldChar w:fldCharType="separate"/>
        </w:r>
        <w:r w:rsidR="00A41017">
          <w:rPr>
            <w:noProof/>
            <w:webHidden/>
          </w:rPr>
          <w:t>4</w:t>
        </w:r>
        <w:r w:rsidR="00A41017">
          <w:rPr>
            <w:noProof/>
            <w:webHidden/>
          </w:rPr>
          <w:fldChar w:fldCharType="end"/>
        </w:r>
      </w:hyperlink>
    </w:p>
    <w:p w14:paraId="7B9DF0CE" w14:textId="56FEC4C5" w:rsidR="00A41017" w:rsidRDefault="00000000">
      <w:pPr>
        <w:pStyle w:val="TDC1"/>
        <w:rPr>
          <w:rFonts w:asciiTheme="minorHAnsi" w:eastAsiaTheme="minorEastAsia" w:hAnsiTheme="minorHAnsi" w:cstheme="minorBidi"/>
          <w:noProof/>
          <w:sz w:val="22"/>
          <w:szCs w:val="22"/>
          <w:lang w:val="es-SV" w:eastAsia="es-SV"/>
        </w:rPr>
      </w:pPr>
      <w:hyperlink w:anchor="_Toc126599751" w:history="1">
        <w:r w:rsidR="00A41017" w:rsidRPr="00CB7EB7">
          <w:rPr>
            <w:rStyle w:val="Hipervnculo"/>
            <w:noProof/>
          </w:rPr>
          <w:t>3.</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DEFINICIONES</w:t>
        </w:r>
        <w:r w:rsidR="00A41017">
          <w:rPr>
            <w:noProof/>
            <w:webHidden/>
          </w:rPr>
          <w:tab/>
        </w:r>
        <w:r w:rsidR="00A41017">
          <w:rPr>
            <w:noProof/>
            <w:webHidden/>
          </w:rPr>
          <w:fldChar w:fldCharType="begin"/>
        </w:r>
        <w:r w:rsidR="00A41017">
          <w:rPr>
            <w:noProof/>
            <w:webHidden/>
          </w:rPr>
          <w:instrText xml:space="preserve"> PAGEREF _Toc126599751 \h </w:instrText>
        </w:r>
        <w:r w:rsidR="00A41017">
          <w:rPr>
            <w:noProof/>
            <w:webHidden/>
          </w:rPr>
        </w:r>
        <w:r w:rsidR="00A41017">
          <w:rPr>
            <w:noProof/>
            <w:webHidden/>
          </w:rPr>
          <w:fldChar w:fldCharType="separate"/>
        </w:r>
        <w:r w:rsidR="00A41017">
          <w:rPr>
            <w:noProof/>
            <w:webHidden/>
          </w:rPr>
          <w:t>5</w:t>
        </w:r>
        <w:r w:rsidR="00A41017">
          <w:rPr>
            <w:noProof/>
            <w:webHidden/>
          </w:rPr>
          <w:fldChar w:fldCharType="end"/>
        </w:r>
      </w:hyperlink>
    </w:p>
    <w:p w14:paraId="752BFCFA" w14:textId="240682DC" w:rsidR="00A41017" w:rsidRDefault="00000000">
      <w:pPr>
        <w:pStyle w:val="TDC1"/>
        <w:rPr>
          <w:rFonts w:asciiTheme="minorHAnsi" w:eastAsiaTheme="minorEastAsia" w:hAnsiTheme="minorHAnsi" w:cstheme="minorBidi"/>
          <w:noProof/>
          <w:sz w:val="22"/>
          <w:szCs w:val="22"/>
          <w:lang w:val="es-SV" w:eastAsia="es-SV"/>
        </w:rPr>
      </w:pPr>
      <w:hyperlink w:anchor="_Toc126599752" w:history="1">
        <w:r w:rsidR="00A41017" w:rsidRPr="00CB7EB7">
          <w:rPr>
            <w:rStyle w:val="Hipervnculo"/>
            <w:noProof/>
          </w:rPr>
          <w:t>4.</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NORMAS GENERALES</w:t>
        </w:r>
        <w:r w:rsidR="00A41017">
          <w:rPr>
            <w:noProof/>
            <w:webHidden/>
          </w:rPr>
          <w:tab/>
        </w:r>
        <w:r w:rsidR="00A41017">
          <w:rPr>
            <w:noProof/>
            <w:webHidden/>
          </w:rPr>
          <w:fldChar w:fldCharType="begin"/>
        </w:r>
        <w:r w:rsidR="00A41017">
          <w:rPr>
            <w:noProof/>
            <w:webHidden/>
          </w:rPr>
          <w:instrText xml:space="preserve"> PAGEREF _Toc126599752 \h </w:instrText>
        </w:r>
        <w:r w:rsidR="00A41017">
          <w:rPr>
            <w:noProof/>
            <w:webHidden/>
          </w:rPr>
        </w:r>
        <w:r w:rsidR="00A41017">
          <w:rPr>
            <w:noProof/>
            <w:webHidden/>
          </w:rPr>
          <w:fldChar w:fldCharType="separate"/>
        </w:r>
        <w:r w:rsidR="00A41017">
          <w:rPr>
            <w:noProof/>
            <w:webHidden/>
          </w:rPr>
          <w:t>9</w:t>
        </w:r>
        <w:r w:rsidR="00A41017">
          <w:rPr>
            <w:noProof/>
            <w:webHidden/>
          </w:rPr>
          <w:fldChar w:fldCharType="end"/>
        </w:r>
      </w:hyperlink>
    </w:p>
    <w:p w14:paraId="339503A0" w14:textId="24FA0CE0" w:rsidR="00A41017" w:rsidRDefault="00000000">
      <w:pPr>
        <w:pStyle w:val="TDC1"/>
        <w:rPr>
          <w:rFonts w:asciiTheme="minorHAnsi" w:eastAsiaTheme="minorEastAsia" w:hAnsiTheme="minorHAnsi" w:cstheme="minorBidi"/>
          <w:noProof/>
          <w:sz w:val="22"/>
          <w:szCs w:val="22"/>
          <w:lang w:val="es-SV" w:eastAsia="es-SV"/>
        </w:rPr>
      </w:pPr>
      <w:hyperlink w:anchor="_Toc126599753" w:history="1">
        <w:r w:rsidR="00A41017" w:rsidRPr="00CB7EB7">
          <w:rPr>
            <w:rStyle w:val="Hipervnculo"/>
            <w:noProof/>
          </w:rPr>
          <w:t>5.</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NORMAS ESPECÍFICAS</w:t>
        </w:r>
        <w:r w:rsidR="00A41017">
          <w:rPr>
            <w:noProof/>
            <w:webHidden/>
          </w:rPr>
          <w:tab/>
        </w:r>
        <w:r w:rsidR="00A41017">
          <w:rPr>
            <w:noProof/>
            <w:webHidden/>
          </w:rPr>
          <w:fldChar w:fldCharType="begin"/>
        </w:r>
        <w:r w:rsidR="00A41017">
          <w:rPr>
            <w:noProof/>
            <w:webHidden/>
          </w:rPr>
          <w:instrText xml:space="preserve"> PAGEREF _Toc126599753 \h </w:instrText>
        </w:r>
        <w:r w:rsidR="00A41017">
          <w:rPr>
            <w:noProof/>
            <w:webHidden/>
          </w:rPr>
        </w:r>
        <w:r w:rsidR="00A41017">
          <w:rPr>
            <w:noProof/>
            <w:webHidden/>
          </w:rPr>
          <w:fldChar w:fldCharType="separate"/>
        </w:r>
        <w:r w:rsidR="00A41017">
          <w:rPr>
            <w:noProof/>
            <w:webHidden/>
          </w:rPr>
          <w:t>12</w:t>
        </w:r>
        <w:r w:rsidR="00A41017">
          <w:rPr>
            <w:noProof/>
            <w:webHidden/>
          </w:rPr>
          <w:fldChar w:fldCharType="end"/>
        </w:r>
      </w:hyperlink>
    </w:p>
    <w:p w14:paraId="76B8CDE4" w14:textId="55394D86" w:rsidR="00A41017" w:rsidRDefault="00000000">
      <w:pPr>
        <w:pStyle w:val="TDC1"/>
        <w:rPr>
          <w:rFonts w:asciiTheme="minorHAnsi" w:eastAsiaTheme="minorEastAsia" w:hAnsiTheme="minorHAnsi" w:cstheme="minorBidi"/>
          <w:noProof/>
          <w:sz w:val="22"/>
          <w:szCs w:val="22"/>
          <w:lang w:val="es-SV" w:eastAsia="es-SV"/>
        </w:rPr>
      </w:pPr>
      <w:hyperlink w:anchor="_Toc126599754" w:history="1">
        <w:r w:rsidR="00A41017" w:rsidRPr="00CB7EB7">
          <w:rPr>
            <w:rStyle w:val="Hipervnculo"/>
            <w:noProof/>
          </w:rPr>
          <w:t>6.</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DISPOSICIONES ESPECIALES.</w:t>
        </w:r>
        <w:r w:rsidR="00A41017">
          <w:rPr>
            <w:noProof/>
            <w:webHidden/>
          </w:rPr>
          <w:tab/>
        </w:r>
        <w:r w:rsidR="00A41017">
          <w:rPr>
            <w:noProof/>
            <w:webHidden/>
          </w:rPr>
          <w:fldChar w:fldCharType="begin"/>
        </w:r>
        <w:r w:rsidR="00A41017">
          <w:rPr>
            <w:noProof/>
            <w:webHidden/>
          </w:rPr>
          <w:instrText xml:space="preserve"> PAGEREF _Toc126599754 \h </w:instrText>
        </w:r>
        <w:r w:rsidR="00A41017">
          <w:rPr>
            <w:noProof/>
            <w:webHidden/>
          </w:rPr>
        </w:r>
        <w:r w:rsidR="00A41017">
          <w:rPr>
            <w:noProof/>
            <w:webHidden/>
          </w:rPr>
          <w:fldChar w:fldCharType="separate"/>
        </w:r>
        <w:r w:rsidR="00A41017">
          <w:rPr>
            <w:noProof/>
            <w:webHidden/>
          </w:rPr>
          <w:t>27</w:t>
        </w:r>
        <w:r w:rsidR="00A41017">
          <w:rPr>
            <w:noProof/>
            <w:webHidden/>
          </w:rPr>
          <w:fldChar w:fldCharType="end"/>
        </w:r>
      </w:hyperlink>
    </w:p>
    <w:p w14:paraId="2ABF8995" w14:textId="2B48F9AD" w:rsidR="00A41017" w:rsidRDefault="00000000">
      <w:pPr>
        <w:pStyle w:val="TDC1"/>
        <w:rPr>
          <w:rFonts w:asciiTheme="minorHAnsi" w:eastAsiaTheme="minorEastAsia" w:hAnsiTheme="minorHAnsi" w:cstheme="minorBidi"/>
          <w:noProof/>
          <w:sz w:val="22"/>
          <w:szCs w:val="22"/>
          <w:lang w:val="es-SV" w:eastAsia="es-SV"/>
        </w:rPr>
      </w:pPr>
      <w:hyperlink w:anchor="_Toc126599755" w:history="1">
        <w:r w:rsidR="00A41017" w:rsidRPr="00CB7EB7">
          <w:rPr>
            <w:rStyle w:val="Hipervnculo"/>
            <w:noProof/>
          </w:rPr>
          <w:t>7.</w:t>
        </w:r>
        <w:r w:rsidR="00A41017">
          <w:rPr>
            <w:rFonts w:asciiTheme="minorHAnsi" w:eastAsiaTheme="minorEastAsia" w:hAnsiTheme="minorHAnsi" w:cstheme="minorBidi"/>
            <w:noProof/>
            <w:sz w:val="22"/>
            <w:szCs w:val="22"/>
            <w:lang w:val="es-SV" w:eastAsia="es-SV"/>
          </w:rPr>
          <w:tab/>
        </w:r>
        <w:r w:rsidR="00A41017" w:rsidRPr="00CB7EB7">
          <w:rPr>
            <w:rStyle w:val="Hipervnculo"/>
            <w:noProof/>
          </w:rPr>
          <w:t>VIGENCIA, DISTRIBUCIÓN Y DIVULGACIÓN.</w:t>
        </w:r>
        <w:r w:rsidR="00A41017">
          <w:rPr>
            <w:noProof/>
            <w:webHidden/>
          </w:rPr>
          <w:tab/>
        </w:r>
        <w:r w:rsidR="00A41017">
          <w:rPr>
            <w:noProof/>
            <w:webHidden/>
          </w:rPr>
          <w:fldChar w:fldCharType="begin"/>
        </w:r>
        <w:r w:rsidR="00A41017">
          <w:rPr>
            <w:noProof/>
            <w:webHidden/>
          </w:rPr>
          <w:instrText xml:space="preserve"> PAGEREF _Toc126599755 \h </w:instrText>
        </w:r>
        <w:r w:rsidR="00A41017">
          <w:rPr>
            <w:noProof/>
            <w:webHidden/>
          </w:rPr>
        </w:r>
        <w:r w:rsidR="00A41017">
          <w:rPr>
            <w:noProof/>
            <w:webHidden/>
          </w:rPr>
          <w:fldChar w:fldCharType="separate"/>
        </w:r>
        <w:r w:rsidR="00A41017">
          <w:rPr>
            <w:noProof/>
            <w:webHidden/>
          </w:rPr>
          <w:t>32</w:t>
        </w:r>
        <w:r w:rsidR="00A41017">
          <w:rPr>
            <w:noProof/>
            <w:webHidden/>
          </w:rPr>
          <w:fldChar w:fldCharType="end"/>
        </w:r>
      </w:hyperlink>
    </w:p>
    <w:p w14:paraId="7F93DAFE" w14:textId="110DE662" w:rsidR="003711F1" w:rsidRPr="00BE5FA7" w:rsidRDefault="00FB60C4" w:rsidP="009512A5">
      <w:pPr>
        <w:spacing w:before="120" w:after="120" w:line="360" w:lineRule="auto"/>
        <w:rPr>
          <w:rStyle w:val="Hipervnculo"/>
          <w:noProof/>
        </w:rPr>
      </w:pPr>
      <w:r w:rsidRPr="00AC005C">
        <w:rPr>
          <w:rStyle w:val="Hipervnculo"/>
          <w:rFonts w:ascii="Arial" w:hAnsi="Arial" w:cs="Arial"/>
          <w:noProof/>
          <w:szCs w:val="24"/>
        </w:rPr>
        <w:fldChar w:fldCharType="end"/>
      </w:r>
    </w:p>
    <w:p w14:paraId="5547972A" w14:textId="639F2337" w:rsidR="006A38EC" w:rsidRPr="00BE5FA7" w:rsidRDefault="006A38EC" w:rsidP="003711F1">
      <w:pPr>
        <w:rPr>
          <w:rFonts w:ascii="Arial" w:eastAsia="Calibri" w:hAnsi="Arial" w:cs="Arial"/>
          <w:b/>
          <w:szCs w:val="22"/>
          <w:lang w:val="es-MX" w:eastAsia="en-US"/>
        </w:rPr>
      </w:pPr>
      <w:r w:rsidRPr="00BE5FA7">
        <w:rPr>
          <w:rFonts w:ascii="Arial" w:hAnsi="Arial" w:cs="Arial"/>
          <w:b/>
          <w:sz w:val="28"/>
          <w:lang w:val="es-MX"/>
        </w:rPr>
        <w:br w:type="page"/>
      </w:r>
    </w:p>
    <w:p w14:paraId="59D1D1B1" w14:textId="77777777" w:rsidR="007012AA" w:rsidRDefault="007012AA" w:rsidP="00F50F6E">
      <w:pPr>
        <w:pStyle w:val="Ttulo1"/>
        <w:ind w:left="284" w:hanging="284"/>
        <w:sectPr w:rsidR="007012AA" w:rsidSect="00BD5FEA">
          <w:footerReference w:type="default" r:id="rId12"/>
          <w:headerReference w:type="first" r:id="rId13"/>
          <w:footerReference w:type="first" r:id="rId14"/>
          <w:pgSz w:w="12240" w:h="15840" w:code="1"/>
          <w:pgMar w:top="1418" w:right="1701" w:bottom="1418" w:left="1701" w:header="720" w:footer="124" w:gutter="0"/>
          <w:pgNumType w:start="1"/>
          <w:cols w:space="720"/>
          <w:docGrid w:linePitch="360"/>
        </w:sectPr>
      </w:pPr>
      <w:bookmarkStart w:id="3" w:name="_Toc5897964"/>
    </w:p>
    <w:p w14:paraId="367F01AC" w14:textId="597E27F1" w:rsidR="00897122" w:rsidRPr="00BE5FA7" w:rsidRDefault="00897122" w:rsidP="00F50F6E">
      <w:pPr>
        <w:pStyle w:val="Ttulo1"/>
        <w:ind w:left="284" w:hanging="284"/>
      </w:pPr>
      <w:bookmarkStart w:id="4" w:name="_Toc126599746"/>
      <w:r w:rsidRPr="00BE5FA7">
        <w:lastRenderedPageBreak/>
        <w:t>GENERALIDADES</w:t>
      </w:r>
      <w:bookmarkEnd w:id="0"/>
      <w:bookmarkEnd w:id="1"/>
      <w:bookmarkEnd w:id="2"/>
      <w:bookmarkEnd w:id="3"/>
      <w:bookmarkEnd w:id="4"/>
    </w:p>
    <w:p w14:paraId="416FEE0A" w14:textId="00676199" w:rsidR="00897122" w:rsidRPr="00BE5FA7" w:rsidRDefault="00897122" w:rsidP="00F408BA">
      <w:pPr>
        <w:pStyle w:val="Ttulo2"/>
        <w:ind w:left="709"/>
      </w:pPr>
      <w:bookmarkStart w:id="5" w:name="_Toc5699610"/>
      <w:bookmarkStart w:id="6" w:name="_Toc5891016"/>
      <w:bookmarkStart w:id="7" w:name="_Toc5897965"/>
      <w:bookmarkStart w:id="8" w:name="_Toc126599747"/>
      <w:r w:rsidRPr="00BE5FA7">
        <w:t>A</w:t>
      </w:r>
      <w:bookmarkEnd w:id="5"/>
      <w:bookmarkEnd w:id="6"/>
      <w:bookmarkEnd w:id="7"/>
      <w:r w:rsidR="00C94F51" w:rsidRPr="00BE5FA7">
        <w:t>ntecedentes</w:t>
      </w:r>
      <w:bookmarkEnd w:id="8"/>
    </w:p>
    <w:p w14:paraId="7319CC54" w14:textId="190FBA51" w:rsidR="002E3485" w:rsidRPr="002E3485" w:rsidRDefault="002E3485" w:rsidP="002E3485">
      <w:pPr>
        <w:pStyle w:val="Standardtext"/>
        <w:spacing w:before="0" w:after="120"/>
        <w:ind w:left="284"/>
        <w:jc w:val="both"/>
        <w:rPr>
          <w:rFonts w:ascii="Arial" w:hAnsi="Arial" w:cs="Arial"/>
          <w:lang w:val="es-MX"/>
        </w:rPr>
      </w:pPr>
      <w:r w:rsidRPr="002E3485">
        <w:rPr>
          <w:rFonts w:ascii="Arial" w:hAnsi="Arial" w:cs="Arial"/>
          <w:lang w:val="es-MX"/>
        </w:rPr>
        <w:t xml:space="preserve">El Sistema de Pagos Masivos (SPM), conocido e identificado en adelante como Transfer365 en el presente Instructivo, es una plataforma de pagos administrada por el Banco Central de Reserva de El Salvador, que inició operaciones a partir del 5 de junio  de 2021 como una transformación del anterior Sistema de Pagos Masivos que operó desde el año 2013 como apoyo principalmente para la realización de pagos de proveedores y planilla del Gobierno de El Salvador, a través del Ministerio de Hacienda; bajo un esquema de funcionamiento limitado en días y horas laborales. </w:t>
      </w:r>
    </w:p>
    <w:p w14:paraId="3FC0A41B" w14:textId="77777777" w:rsidR="002E3485" w:rsidRPr="002E3485" w:rsidRDefault="002E3485" w:rsidP="002E3485">
      <w:pPr>
        <w:pStyle w:val="Standardtext"/>
        <w:spacing w:before="0" w:after="120"/>
        <w:ind w:left="284"/>
        <w:jc w:val="both"/>
        <w:rPr>
          <w:rFonts w:ascii="Arial" w:hAnsi="Arial" w:cs="Arial"/>
          <w:lang w:val="es-MX"/>
        </w:rPr>
      </w:pPr>
      <w:r w:rsidRPr="002E3485">
        <w:rPr>
          <w:rFonts w:ascii="Arial" w:hAnsi="Arial" w:cs="Arial"/>
          <w:lang w:val="es-MX"/>
        </w:rPr>
        <w:t>El Transfer365, funciona como una cámara automatizada, facilitando a la población que posea una cuenta bancaria, las transferencias de fondos interbancarias y realización de pagos de forma inmediata, desde cualquier lugar, a cualquier hora y todos los días del año, interconectándose con todos los Bancos, Bancos Cooperativos, Sociedades de Ahorro y Crédito, Ministerio de Hacienda, Federaciones de Bancos Cooperativos y otros Participantes autorizados que lo requieran.</w:t>
      </w:r>
    </w:p>
    <w:p w14:paraId="5C6487BC" w14:textId="48E89412" w:rsidR="002E3485" w:rsidRPr="002E3485" w:rsidRDefault="002E3485" w:rsidP="002E3485">
      <w:pPr>
        <w:pStyle w:val="Standardtext"/>
        <w:spacing w:before="0" w:after="120"/>
        <w:ind w:left="284"/>
        <w:jc w:val="both"/>
        <w:rPr>
          <w:rFonts w:ascii="Arial" w:hAnsi="Arial" w:cs="Arial"/>
          <w:lang w:val="es-MX"/>
        </w:rPr>
      </w:pPr>
      <w:r w:rsidRPr="002E3485">
        <w:rPr>
          <w:rFonts w:ascii="Arial" w:hAnsi="Arial" w:cs="Arial"/>
          <w:lang w:val="es-MX"/>
        </w:rPr>
        <w:t>El Consejo Directivo del Banco Central de Reserva de El Salvador, aprobó en Sesión No. CD-5/2021 del 11 de febrero de 2021, el Instructivo para la Administración y Operación de Pagos Masivos, con vigencia el 5 de marzo de 2021 y que derogó el autorizado en sesión No. CD-39/2018 del 8 de octubre de 2018. Asimismo, en Sesión No. CD-07/2022 del 14 de marzo 2022, fue aprobada una nueva versión del Instructivo para la Administración y Operación de Pagos Masivos, con vigencia a partir del 31 de marzo de 2022, el cual contempla una serie de ajustes relacionados al reconocimiento del nombre del Sistema de Pagos Masivos como Sistema Transfer365 por la ampliación del alcance de los servicios a través de los canales electrónicos de las instituciones participantes autorizadas</w:t>
      </w:r>
      <w:r w:rsidR="003E1DCD">
        <w:rPr>
          <w:rFonts w:ascii="Arial" w:hAnsi="Arial" w:cs="Arial"/>
          <w:lang w:val="es-MX"/>
        </w:rPr>
        <w:t xml:space="preserve">, </w:t>
      </w:r>
      <w:r w:rsidR="003E1DCD" w:rsidRPr="002E3485">
        <w:rPr>
          <w:rFonts w:ascii="Arial" w:hAnsi="Arial" w:cs="Arial"/>
          <w:lang w:val="es-MX"/>
        </w:rPr>
        <w:t>modifica</w:t>
      </w:r>
      <w:r w:rsidR="003E1DCD">
        <w:rPr>
          <w:rFonts w:ascii="Arial" w:hAnsi="Arial" w:cs="Arial"/>
          <w:lang w:val="es-MX"/>
        </w:rPr>
        <w:t>do</w:t>
      </w:r>
      <w:r w:rsidR="003E1DCD" w:rsidRPr="002E3485">
        <w:rPr>
          <w:rFonts w:ascii="Arial" w:hAnsi="Arial" w:cs="Arial"/>
          <w:lang w:val="es-MX"/>
        </w:rPr>
        <w:t xml:space="preserve"> en Sesión No.CD-16/2022 del 28 de julio de 2022</w:t>
      </w:r>
      <w:r w:rsidR="003E1DCD">
        <w:rPr>
          <w:rFonts w:ascii="Arial" w:hAnsi="Arial" w:cs="Arial"/>
          <w:lang w:val="es-MX"/>
        </w:rPr>
        <w:t xml:space="preserve"> a fin de reducir</w:t>
      </w:r>
      <w:r w:rsidR="003E1DCD" w:rsidRPr="002E3485">
        <w:rPr>
          <w:rFonts w:ascii="Arial" w:hAnsi="Arial" w:cs="Arial"/>
          <w:lang w:val="es-MX"/>
        </w:rPr>
        <w:t xml:space="preserve"> los tiempos de procesamiento de los Participantes en sus sistemas, en cuanto a la acreditación y/o devolución de fondos para mejorar la experiencia del servicio Transfer365 en beneficio directo de la población</w:t>
      </w:r>
    </w:p>
    <w:p w14:paraId="17B80EAB" w14:textId="77777777" w:rsidR="002E3485" w:rsidRPr="002E3485" w:rsidRDefault="002E3485" w:rsidP="002E3485">
      <w:pPr>
        <w:pStyle w:val="Standardtext"/>
        <w:spacing w:before="0" w:after="120"/>
        <w:ind w:left="284"/>
        <w:jc w:val="both"/>
        <w:rPr>
          <w:rFonts w:ascii="Arial" w:hAnsi="Arial" w:cs="Arial"/>
          <w:lang w:val="es-MX"/>
        </w:rPr>
      </w:pPr>
      <w:r w:rsidRPr="003E1DCD">
        <w:rPr>
          <w:rFonts w:ascii="Arial" w:hAnsi="Arial" w:cs="Arial"/>
          <w:lang w:val="es-MX"/>
        </w:rPr>
        <w:t xml:space="preserve">Asimismo, en Sesión No.CD-08/2022 del 28 de marzo de 2022, </w:t>
      </w:r>
      <w:r w:rsidRPr="002E3485">
        <w:rPr>
          <w:rFonts w:ascii="Arial" w:hAnsi="Arial" w:cs="Arial"/>
          <w:lang w:val="es-MX"/>
        </w:rPr>
        <w:t>se autorizó que las entidades participantes del Sistema Transfer365, pongan a disposición de sus clientes la opción de realizar transferencias interbancarias utilizando su número de celular asociado a una cuenta bancaria, conocido como Transfer365 Móvil.</w:t>
      </w:r>
    </w:p>
    <w:p w14:paraId="284F2270" w14:textId="77777777" w:rsidR="007D61B8" w:rsidRPr="007D61B8" w:rsidRDefault="007D61B8" w:rsidP="007D61B8">
      <w:pPr>
        <w:pStyle w:val="Standardtext"/>
        <w:spacing w:before="0" w:after="120"/>
        <w:ind w:left="284"/>
        <w:jc w:val="both"/>
        <w:rPr>
          <w:rFonts w:ascii="Arial" w:hAnsi="Arial" w:cs="Arial"/>
          <w:lang w:val="es-MX"/>
        </w:rPr>
      </w:pPr>
      <w:r w:rsidRPr="00F31682">
        <w:rPr>
          <w:rFonts w:ascii="Arial" w:hAnsi="Arial" w:cs="Arial"/>
          <w:lang w:val="es-MX"/>
        </w:rPr>
        <w:t>El presente Instructivo tuvo modificaciones importantes, las cuales fueron aprobadas por Consejo Directivo en Sesión No.CD-16/2022 del 28 de julio de 2022 referente a la minimización en los tiempos de procesamiento de los Participantes en sus sistemas, en cuanto a la acreditación y/o devolución de fondos para mejorar la experiencia del servicio Transfer365 en beneficio directo de la población.</w:t>
      </w:r>
    </w:p>
    <w:p w14:paraId="6F65C50D" w14:textId="6668DF1E" w:rsidR="00897122" w:rsidRPr="00BE5FA7" w:rsidRDefault="00897122" w:rsidP="00AB6EF0">
      <w:pPr>
        <w:pStyle w:val="Ttulo2"/>
        <w:ind w:left="709"/>
      </w:pPr>
      <w:bookmarkStart w:id="9" w:name="_Toc5699611"/>
      <w:bookmarkStart w:id="10" w:name="_Toc5891017"/>
      <w:bookmarkStart w:id="11" w:name="_Toc5897966"/>
      <w:bookmarkStart w:id="12" w:name="_Toc126599748"/>
      <w:r w:rsidRPr="00BE5FA7">
        <w:lastRenderedPageBreak/>
        <w:t>B</w:t>
      </w:r>
      <w:bookmarkEnd w:id="9"/>
      <w:bookmarkEnd w:id="10"/>
      <w:bookmarkEnd w:id="11"/>
      <w:r w:rsidR="00632849" w:rsidRPr="00BE5FA7">
        <w:t>ase Legal</w:t>
      </w:r>
      <w:r w:rsidR="00BA7378" w:rsidRPr="00BE5FA7">
        <w:t xml:space="preserve"> y Normativa Aplicable</w:t>
      </w:r>
      <w:bookmarkEnd w:id="12"/>
    </w:p>
    <w:p w14:paraId="2E4587D3" w14:textId="3969BDF5" w:rsidR="00897122" w:rsidRPr="00BE5FA7" w:rsidRDefault="00897122" w:rsidP="00F50F6E">
      <w:pPr>
        <w:pStyle w:val="Standardtext"/>
        <w:spacing w:before="0" w:after="120"/>
        <w:ind w:left="284"/>
        <w:jc w:val="both"/>
        <w:rPr>
          <w:rFonts w:ascii="Arial" w:hAnsi="Arial" w:cs="Arial"/>
          <w:lang w:val="es-MX"/>
        </w:rPr>
      </w:pPr>
      <w:r w:rsidRPr="00BE5FA7">
        <w:rPr>
          <w:rFonts w:ascii="Arial" w:hAnsi="Arial" w:cs="Arial"/>
          <w:lang w:val="es-MX"/>
        </w:rPr>
        <w:t xml:space="preserve">El Sistema de Pagos Masivos y las </w:t>
      </w:r>
      <w:r w:rsidR="005F137B">
        <w:rPr>
          <w:rFonts w:ascii="Arial" w:hAnsi="Arial" w:cs="Arial"/>
          <w:lang w:val="es-MX"/>
        </w:rPr>
        <w:t>I</w:t>
      </w:r>
      <w:r w:rsidRPr="00BE5FA7">
        <w:rPr>
          <w:rFonts w:ascii="Arial" w:hAnsi="Arial" w:cs="Arial"/>
          <w:lang w:val="es-MX"/>
        </w:rPr>
        <w:t xml:space="preserve">nstrucciones de </w:t>
      </w:r>
      <w:r w:rsidR="005F137B">
        <w:rPr>
          <w:rFonts w:ascii="Arial" w:hAnsi="Arial" w:cs="Arial"/>
          <w:lang w:val="es-MX"/>
        </w:rPr>
        <w:t>P</w:t>
      </w:r>
      <w:r w:rsidRPr="00BE5FA7">
        <w:rPr>
          <w:rFonts w:ascii="Arial" w:hAnsi="Arial" w:cs="Arial"/>
          <w:lang w:val="es-MX"/>
        </w:rPr>
        <w:t>ago derivadas de</w:t>
      </w:r>
      <w:r w:rsidR="00607367">
        <w:rPr>
          <w:rFonts w:ascii="Arial" w:hAnsi="Arial" w:cs="Arial"/>
          <w:lang w:val="es-MX"/>
        </w:rPr>
        <w:t xml:space="preserve">l </w:t>
      </w:r>
      <w:r w:rsidRPr="00BE5FA7">
        <w:rPr>
          <w:rFonts w:ascii="Arial" w:hAnsi="Arial" w:cs="Arial"/>
          <w:lang w:val="es-MX"/>
        </w:rPr>
        <w:t>mismo, se sustenta</w:t>
      </w:r>
      <w:r w:rsidR="007A02D1" w:rsidRPr="00BE5FA7">
        <w:rPr>
          <w:rFonts w:ascii="Arial" w:hAnsi="Arial" w:cs="Arial"/>
          <w:lang w:val="es-MX"/>
        </w:rPr>
        <w:t>n</w:t>
      </w:r>
      <w:r w:rsidRPr="00BE5FA7">
        <w:rPr>
          <w:rFonts w:ascii="Arial" w:hAnsi="Arial" w:cs="Arial"/>
          <w:lang w:val="es-MX"/>
        </w:rPr>
        <w:t xml:space="preserve"> en las disposiciones legales siguientes: </w:t>
      </w:r>
    </w:p>
    <w:p w14:paraId="3C78661F" w14:textId="02A46223" w:rsidR="00897122" w:rsidRPr="00BE5FA7" w:rsidRDefault="00897122" w:rsidP="00D2510A">
      <w:pPr>
        <w:pStyle w:val="Standardtext"/>
        <w:numPr>
          <w:ilvl w:val="2"/>
          <w:numId w:val="5"/>
        </w:numPr>
        <w:spacing w:before="120" w:after="120"/>
        <w:ind w:left="993" w:hanging="709"/>
        <w:jc w:val="both"/>
        <w:rPr>
          <w:rFonts w:ascii="Arial" w:hAnsi="Arial" w:cs="Arial"/>
          <w:lang w:val="es-MX"/>
        </w:rPr>
      </w:pPr>
      <w:r w:rsidRPr="00BE5FA7">
        <w:rPr>
          <w:rFonts w:ascii="Arial" w:hAnsi="Arial" w:cs="Arial"/>
          <w:lang w:val="es-MX"/>
        </w:rPr>
        <w:t xml:space="preserve">Tratado sobre Sistemas de Pago y Liquidación de Valores de Centroamérica y República Dominicana. </w:t>
      </w:r>
    </w:p>
    <w:p w14:paraId="71F27D23" w14:textId="418DF42A" w:rsidR="00897122" w:rsidRPr="00BE5FA7" w:rsidRDefault="008F023F" w:rsidP="00D2510A">
      <w:pPr>
        <w:pStyle w:val="Standardtext"/>
        <w:numPr>
          <w:ilvl w:val="2"/>
          <w:numId w:val="5"/>
        </w:numPr>
        <w:spacing w:before="120" w:after="120"/>
        <w:ind w:left="993" w:hanging="709"/>
        <w:jc w:val="both"/>
        <w:rPr>
          <w:rFonts w:ascii="Arial" w:hAnsi="Arial" w:cs="Arial"/>
          <w:lang w:val="es-MX"/>
        </w:rPr>
      </w:pPr>
      <w:r w:rsidRPr="008F023F">
        <w:rPr>
          <w:rFonts w:ascii="Arial" w:hAnsi="Arial" w:cs="Arial"/>
          <w:lang w:val="es-MX"/>
        </w:rPr>
        <w:t>Ley Orgánica del Banco Central de Reserva de El Salvador, Art.3,</w:t>
      </w:r>
      <w:r w:rsidR="001235B7">
        <w:rPr>
          <w:rFonts w:ascii="Arial" w:hAnsi="Arial" w:cs="Arial"/>
          <w:lang w:val="es-MX"/>
        </w:rPr>
        <w:t xml:space="preserve"> inciso segundo,</w:t>
      </w:r>
      <w:r w:rsidRPr="008F023F">
        <w:rPr>
          <w:rFonts w:ascii="Arial" w:hAnsi="Arial" w:cs="Arial"/>
          <w:lang w:val="es-MX"/>
        </w:rPr>
        <w:t xml:space="preserve"> literales e), g), h) y l) y Art. 65, 66, 67, 94 y 95.</w:t>
      </w:r>
    </w:p>
    <w:p w14:paraId="7EB7ABA9" w14:textId="7B3A3A61" w:rsidR="00897122" w:rsidRPr="00BE5FA7" w:rsidRDefault="00897122" w:rsidP="00D2510A">
      <w:pPr>
        <w:pStyle w:val="Standardtext"/>
        <w:numPr>
          <w:ilvl w:val="2"/>
          <w:numId w:val="5"/>
        </w:numPr>
        <w:spacing w:before="120" w:after="120"/>
        <w:ind w:left="993" w:hanging="709"/>
        <w:jc w:val="both"/>
        <w:rPr>
          <w:rFonts w:ascii="Arial" w:hAnsi="Arial" w:cs="Arial"/>
          <w:lang w:val="es-MX"/>
        </w:rPr>
      </w:pPr>
      <w:r w:rsidRPr="00BE5FA7">
        <w:rPr>
          <w:rFonts w:ascii="Arial" w:hAnsi="Arial" w:cs="Arial"/>
          <w:lang w:val="es-MX"/>
        </w:rPr>
        <w:t xml:space="preserve">Ley de Bancos, </w:t>
      </w:r>
      <w:r w:rsidR="00222C83" w:rsidRPr="00BE5FA7">
        <w:rPr>
          <w:rFonts w:ascii="Arial" w:hAnsi="Arial" w:cs="Arial"/>
          <w:lang w:val="es-MX"/>
        </w:rPr>
        <w:t>A</w:t>
      </w:r>
      <w:r w:rsidRPr="00BE5FA7">
        <w:rPr>
          <w:rFonts w:ascii="Arial" w:hAnsi="Arial" w:cs="Arial"/>
          <w:lang w:val="es-MX"/>
        </w:rPr>
        <w:t>rtículo 60.</w:t>
      </w:r>
    </w:p>
    <w:p w14:paraId="681C1F35" w14:textId="4790DC11" w:rsidR="00C64AEB" w:rsidRPr="00BE5FA7" w:rsidRDefault="00C64AEB" w:rsidP="00D2510A">
      <w:pPr>
        <w:pStyle w:val="Standardtext"/>
        <w:numPr>
          <w:ilvl w:val="2"/>
          <w:numId w:val="5"/>
        </w:numPr>
        <w:spacing w:before="120" w:after="120"/>
        <w:ind w:left="993" w:hanging="709"/>
        <w:jc w:val="both"/>
        <w:rPr>
          <w:rFonts w:ascii="Arial" w:hAnsi="Arial" w:cs="Arial"/>
          <w:lang w:val="es-MX"/>
        </w:rPr>
      </w:pPr>
      <w:r w:rsidRPr="00BE5FA7">
        <w:rPr>
          <w:rFonts w:ascii="Arial" w:hAnsi="Arial" w:cs="Arial"/>
          <w:lang w:val="es-MX"/>
        </w:rPr>
        <w:t>Ley de Bancos Cooperativos y S</w:t>
      </w:r>
      <w:r w:rsidR="00B33E50" w:rsidRPr="00BE5FA7">
        <w:rPr>
          <w:rFonts w:ascii="Arial" w:hAnsi="Arial" w:cs="Arial"/>
          <w:lang w:val="es-MX"/>
        </w:rPr>
        <w:t xml:space="preserve">ociedades de Ahorro y Crédito, </w:t>
      </w:r>
      <w:r w:rsidR="00BA7378" w:rsidRPr="00BE5FA7">
        <w:rPr>
          <w:rFonts w:ascii="Arial" w:hAnsi="Arial" w:cs="Arial"/>
          <w:lang w:val="es-MX"/>
        </w:rPr>
        <w:t xml:space="preserve">Art. </w:t>
      </w:r>
      <w:r w:rsidRPr="00BE5FA7">
        <w:rPr>
          <w:rFonts w:ascii="Arial" w:hAnsi="Arial" w:cs="Arial"/>
          <w:lang w:val="es-MX"/>
        </w:rPr>
        <w:t>34 literal</w:t>
      </w:r>
      <w:r w:rsidR="00077621" w:rsidRPr="00BE5FA7">
        <w:rPr>
          <w:rFonts w:ascii="Arial" w:hAnsi="Arial" w:cs="Arial"/>
          <w:lang w:val="es-MX"/>
        </w:rPr>
        <w:t>es</w:t>
      </w:r>
      <w:r w:rsidR="008A4C8F" w:rsidRPr="00BE5FA7">
        <w:rPr>
          <w:rFonts w:ascii="Arial" w:hAnsi="Arial" w:cs="Arial"/>
          <w:lang w:val="es-MX"/>
        </w:rPr>
        <w:t xml:space="preserve"> h</w:t>
      </w:r>
      <w:r w:rsidR="003761DD">
        <w:rPr>
          <w:rFonts w:ascii="Arial" w:hAnsi="Arial" w:cs="Arial"/>
          <w:lang w:val="es-MX"/>
        </w:rPr>
        <w:t>)</w:t>
      </w:r>
      <w:r w:rsidR="008A4C8F" w:rsidRPr="00BE5FA7">
        <w:rPr>
          <w:rFonts w:ascii="Arial" w:hAnsi="Arial" w:cs="Arial"/>
          <w:lang w:val="es-MX"/>
        </w:rPr>
        <w:t xml:space="preserve"> y s</w:t>
      </w:r>
      <w:r w:rsidR="003761DD">
        <w:rPr>
          <w:rFonts w:ascii="Arial" w:hAnsi="Arial" w:cs="Arial"/>
          <w:lang w:val="es-MX"/>
        </w:rPr>
        <w:t>)</w:t>
      </w:r>
      <w:r w:rsidRPr="00BE5FA7">
        <w:rPr>
          <w:rFonts w:ascii="Arial" w:hAnsi="Arial" w:cs="Arial"/>
          <w:lang w:val="es-MX"/>
        </w:rPr>
        <w:t>.</w:t>
      </w:r>
    </w:p>
    <w:p w14:paraId="3164B7E9" w14:textId="77777777" w:rsidR="00AA0B6B" w:rsidRDefault="00897122" w:rsidP="003E1DCD">
      <w:pPr>
        <w:pStyle w:val="Standardtext"/>
        <w:numPr>
          <w:ilvl w:val="2"/>
          <w:numId w:val="5"/>
        </w:numPr>
        <w:spacing w:before="120" w:after="120"/>
        <w:ind w:left="993" w:hanging="709"/>
        <w:jc w:val="both"/>
        <w:rPr>
          <w:rFonts w:ascii="Arial" w:hAnsi="Arial" w:cs="Arial"/>
          <w:lang w:val="es-MX"/>
        </w:rPr>
      </w:pPr>
      <w:r w:rsidRPr="00AA0B6B">
        <w:rPr>
          <w:rFonts w:ascii="Arial" w:hAnsi="Arial" w:cs="Arial"/>
          <w:lang w:val="es-MX"/>
        </w:rPr>
        <w:t>Ley Contra el Lavado de Dinero y de Activos y su Reglamento.</w:t>
      </w:r>
    </w:p>
    <w:p w14:paraId="541871DD" w14:textId="6AED6C68" w:rsidR="00897122" w:rsidRPr="00AA0B6B" w:rsidRDefault="00897122" w:rsidP="003E1DCD">
      <w:pPr>
        <w:pStyle w:val="Standardtext"/>
        <w:numPr>
          <w:ilvl w:val="2"/>
          <w:numId w:val="5"/>
        </w:numPr>
        <w:spacing w:before="120" w:after="120"/>
        <w:ind w:left="993" w:hanging="709"/>
        <w:jc w:val="both"/>
        <w:rPr>
          <w:rFonts w:ascii="Arial" w:hAnsi="Arial" w:cs="Arial"/>
          <w:lang w:val="es-MX"/>
        </w:rPr>
      </w:pPr>
      <w:r w:rsidRPr="00AA0B6B">
        <w:rPr>
          <w:rFonts w:ascii="Arial" w:hAnsi="Arial" w:cs="Arial"/>
          <w:lang w:val="es-MX"/>
        </w:rPr>
        <w:t>Ley Especial Contra Actos de Terrorismo.</w:t>
      </w:r>
    </w:p>
    <w:p w14:paraId="516439E5" w14:textId="54C39CF0" w:rsidR="00B371FC" w:rsidRPr="00BE5FA7" w:rsidRDefault="00D13CCA" w:rsidP="00D2510A">
      <w:pPr>
        <w:pStyle w:val="Standardtext"/>
        <w:numPr>
          <w:ilvl w:val="2"/>
          <w:numId w:val="5"/>
        </w:numPr>
        <w:spacing w:before="120" w:after="120"/>
        <w:ind w:left="993" w:hanging="709"/>
        <w:jc w:val="both"/>
        <w:rPr>
          <w:rFonts w:ascii="Arial" w:hAnsi="Arial" w:cs="Arial"/>
          <w:lang w:val="es-MX"/>
        </w:rPr>
      </w:pPr>
      <w:r w:rsidRPr="00D13CCA">
        <w:rPr>
          <w:rFonts w:ascii="Arial" w:hAnsi="Arial" w:cs="Arial"/>
          <w:lang w:val="es-MX"/>
        </w:rPr>
        <w:t>Instructivo para la Prevención, Detección y Control del Lavado de Dinero y de Activos, Financiación del Terrorismo y la Financiación de la Proliferación de Armas de Destrucción Masiva</w:t>
      </w:r>
      <w:r w:rsidR="00897122" w:rsidRPr="00BE5FA7">
        <w:rPr>
          <w:rFonts w:ascii="Arial" w:hAnsi="Arial" w:cs="Arial"/>
          <w:lang w:val="es-MX"/>
        </w:rPr>
        <w:t xml:space="preserve">. </w:t>
      </w:r>
    </w:p>
    <w:p w14:paraId="1F316610" w14:textId="77557C87" w:rsidR="00B371FC" w:rsidRPr="00BE5FA7" w:rsidRDefault="00B371FC" w:rsidP="00D2510A">
      <w:pPr>
        <w:pStyle w:val="Standardtext"/>
        <w:numPr>
          <w:ilvl w:val="2"/>
          <w:numId w:val="5"/>
        </w:numPr>
        <w:spacing w:before="120" w:after="120"/>
        <w:ind w:left="993" w:hanging="709"/>
        <w:jc w:val="both"/>
        <w:rPr>
          <w:rFonts w:ascii="Arial" w:hAnsi="Arial" w:cs="Arial"/>
          <w:lang w:val="es-MX"/>
        </w:rPr>
      </w:pPr>
      <w:r w:rsidRPr="00BE5FA7">
        <w:rPr>
          <w:rFonts w:ascii="Arial" w:hAnsi="Arial" w:cs="Arial"/>
          <w:lang w:val="es-MX"/>
        </w:rPr>
        <w:t>Instructivo para el Reconocimiento de Sistemas de Pago de Importancia Sistémica. </w:t>
      </w:r>
    </w:p>
    <w:p w14:paraId="4E45308D" w14:textId="671DF12B" w:rsidR="002D318C" w:rsidRDefault="00B371FC" w:rsidP="00D2510A">
      <w:pPr>
        <w:pStyle w:val="Standardtext"/>
        <w:numPr>
          <w:ilvl w:val="2"/>
          <w:numId w:val="5"/>
        </w:numPr>
        <w:spacing w:before="120" w:after="120"/>
        <w:ind w:left="993" w:hanging="709"/>
        <w:jc w:val="both"/>
        <w:rPr>
          <w:rFonts w:ascii="Arial" w:hAnsi="Arial" w:cs="Arial"/>
          <w:lang w:val="es-MX"/>
        </w:rPr>
      </w:pPr>
      <w:r w:rsidRPr="00BE5FA7">
        <w:rPr>
          <w:rFonts w:ascii="Arial" w:hAnsi="Arial" w:cs="Arial"/>
          <w:lang w:val="es-MX"/>
        </w:rPr>
        <w:t>Reglamento del Sistema de Liquidación Bruta en Tiempo Real. </w:t>
      </w:r>
    </w:p>
    <w:p w14:paraId="341E5A13" w14:textId="77777777" w:rsidR="003E1DCD" w:rsidRPr="00BE5FA7" w:rsidRDefault="003E1DCD" w:rsidP="003E1DCD">
      <w:pPr>
        <w:pStyle w:val="Standardtext"/>
        <w:numPr>
          <w:ilvl w:val="2"/>
          <w:numId w:val="5"/>
        </w:numPr>
        <w:tabs>
          <w:tab w:val="left" w:pos="993"/>
        </w:tabs>
        <w:spacing w:before="120" w:after="120"/>
        <w:ind w:left="284" w:firstLine="0"/>
        <w:jc w:val="both"/>
        <w:rPr>
          <w:rFonts w:ascii="Arial" w:hAnsi="Arial" w:cs="Arial"/>
          <w:color w:val="000000" w:themeColor="text1"/>
          <w:lang w:val="es-MX"/>
        </w:rPr>
      </w:pPr>
      <w:r w:rsidRPr="00BE5FA7">
        <w:rPr>
          <w:rFonts w:ascii="Arial" w:hAnsi="Arial" w:cs="Arial"/>
          <w:color w:val="000000" w:themeColor="text1"/>
          <w:lang w:val="es-MX"/>
        </w:rPr>
        <w:t>Reglamento para Operar Sistemas Electrónicos de Pago tipo ACH.</w:t>
      </w:r>
    </w:p>
    <w:p w14:paraId="532982D0" w14:textId="77777777" w:rsidR="005F1769" w:rsidRDefault="005F1769" w:rsidP="008B789E">
      <w:pPr>
        <w:pStyle w:val="Standardtext"/>
        <w:spacing w:before="0" w:after="0" w:line="240" w:lineRule="auto"/>
        <w:ind w:left="993"/>
        <w:jc w:val="both"/>
        <w:rPr>
          <w:rFonts w:ascii="Arial" w:hAnsi="Arial" w:cs="Arial"/>
          <w:lang w:val="es-MX"/>
        </w:rPr>
      </w:pPr>
    </w:p>
    <w:p w14:paraId="70DD41E6" w14:textId="52CB5337" w:rsidR="00897122" w:rsidRPr="00BE5FA7" w:rsidRDefault="00441410" w:rsidP="00463C66">
      <w:pPr>
        <w:pStyle w:val="Ttulo2"/>
        <w:ind w:left="709"/>
      </w:pPr>
      <w:bookmarkStart w:id="13" w:name="_Toc5699612"/>
      <w:bookmarkStart w:id="14" w:name="_Toc5891018"/>
      <w:bookmarkStart w:id="15" w:name="_Toc5897967"/>
      <w:bookmarkStart w:id="16" w:name="_Toc126599749"/>
      <w:r w:rsidRPr="00BE5FA7">
        <w:t>Á</w:t>
      </w:r>
      <w:bookmarkEnd w:id="13"/>
      <w:bookmarkEnd w:id="14"/>
      <w:bookmarkEnd w:id="15"/>
      <w:r w:rsidR="00463C66">
        <w:t>mbito de aplicación</w:t>
      </w:r>
      <w:bookmarkEnd w:id="16"/>
    </w:p>
    <w:p w14:paraId="7335F62F" w14:textId="4C7F4E4C" w:rsidR="00897122" w:rsidRPr="00BE5FA7" w:rsidRDefault="00906C81" w:rsidP="00A04426">
      <w:pPr>
        <w:pStyle w:val="Standardtext"/>
        <w:spacing w:before="0" w:after="120"/>
        <w:ind w:left="284"/>
        <w:jc w:val="both"/>
        <w:rPr>
          <w:rFonts w:ascii="Arial" w:hAnsi="Arial" w:cs="Arial"/>
          <w:lang w:val="es-SV"/>
        </w:rPr>
      </w:pPr>
      <w:r>
        <w:rPr>
          <w:rFonts w:ascii="Arial" w:hAnsi="Arial" w:cs="Arial"/>
          <w:lang w:val="es-SV"/>
        </w:rPr>
        <w:t>E</w:t>
      </w:r>
      <w:r w:rsidR="0046592F" w:rsidRPr="00BE5FA7">
        <w:rPr>
          <w:rFonts w:ascii="Arial" w:hAnsi="Arial" w:cs="Arial"/>
          <w:lang w:val="es-SV"/>
        </w:rPr>
        <w:t xml:space="preserve">l presente </w:t>
      </w:r>
      <w:r w:rsidR="00D91343" w:rsidRPr="00BE5FA7">
        <w:rPr>
          <w:rFonts w:ascii="Arial" w:hAnsi="Arial" w:cs="Arial"/>
          <w:lang w:val="es-SV"/>
        </w:rPr>
        <w:t>I</w:t>
      </w:r>
      <w:r w:rsidR="0046592F" w:rsidRPr="00BE5FA7">
        <w:rPr>
          <w:rFonts w:ascii="Arial" w:hAnsi="Arial" w:cs="Arial"/>
          <w:lang w:val="es-SV"/>
        </w:rPr>
        <w:t xml:space="preserve">nstructivo es </w:t>
      </w:r>
      <w:r w:rsidR="00464168" w:rsidRPr="00BE5FA7">
        <w:rPr>
          <w:rFonts w:ascii="Arial" w:hAnsi="Arial" w:cs="Arial"/>
          <w:lang w:val="es-SV"/>
        </w:rPr>
        <w:t xml:space="preserve">de </w:t>
      </w:r>
      <w:r w:rsidR="0009585C" w:rsidRPr="00BE5FA7">
        <w:rPr>
          <w:rFonts w:ascii="Arial" w:hAnsi="Arial" w:cs="Arial"/>
          <w:lang w:val="es-SV"/>
        </w:rPr>
        <w:t xml:space="preserve">estricto </w:t>
      </w:r>
      <w:r w:rsidR="00897122" w:rsidRPr="00BE5FA7">
        <w:rPr>
          <w:rFonts w:ascii="Arial" w:hAnsi="Arial" w:cs="Arial"/>
          <w:lang w:val="es-SV"/>
        </w:rPr>
        <w:t xml:space="preserve">cumplimiento para los </w:t>
      </w:r>
      <w:r w:rsidR="00EB68BE">
        <w:rPr>
          <w:rFonts w:ascii="Arial" w:hAnsi="Arial" w:cs="Arial"/>
          <w:lang w:val="es-SV"/>
        </w:rPr>
        <w:t>Participante</w:t>
      </w:r>
      <w:r w:rsidR="00897122" w:rsidRPr="00BE5FA7">
        <w:rPr>
          <w:rFonts w:ascii="Arial" w:hAnsi="Arial" w:cs="Arial"/>
          <w:lang w:val="es-SV"/>
        </w:rPr>
        <w:t>s del Sistema de Pagos Masivos y para el Banco Central de Reserva de El Salvador</w:t>
      </w:r>
      <w:r w:rsidR="00710A08">
        <w:rPr>
          <w:rFonts w:ascii="Arial" w:hAnsi="Arial" w:cs="Arial"/>
          <w:lang w:val="es-SV"/>
        </w:rPr>
        <w:t>,</w:t>
      </w:r>
      <w:r w:rsidR="00897122" w:rsidRPr="00BE5FA7">
        <w:rPr>
          <w:rFonts w:ascii="Arial" w:hAnsi="Arial" w:cs="Arial"/>
          <w:lang w:val="es-SV"/>
        </w:rPr>
        <w:t xml:space="preserve"> en su calidad de administrador</w:t>
      </w:r>
      <w:r w:rsidR="00464168" w:rsidRPr="00BE5FA7">
        <w:rPr>
          <w:rFonts w:ascii="Arial" w:hAnsi="Arial" w:cs="Arial"/>
          <w:lang w:val="es-SV"/>
        </w:rPr>
        <w:t xml:space="preserve"> del mismo</w:t>
      </w:r>
      <w:r w:rsidR="00897122" w:rsidRPr="00BE5FA7">
        <w:rPr>
          <w:rFonts w:ascii="Arial" w:hAnsi="Arial" w:cs="Arial"/>
          <w:lang w:val="es-SV"/>
        </w:rPr>
        <w:t>.</w:t>
      </w:r>
    </w:p>
    <w:p w14:paraId="78325CFC" w14:textId="77777777" w:rsidR="00897122" w:rsidRPr="00BE5FA7" w:rsidRDefault="00897122" w:rsidP="00A04426">
      <w:pPr>
        <w:pStyle w:val="Ttulo1"/>
        <w:ind w:left="284" w:hanging="284"/>
      </w:pPr>
      <w:bookmarkStart w:id="17" w:name="_Toc5699613"/>
      <w:bookmarkStart w:id="18" w:name="_Toc5891019"/>
      <w:bookmarkStart w:id="19" w:name="_Toc5892158"/>
      <w:bookmarkStart w:id="20" w:name="_Toc5897968"/>
      <w:bookmarkStart w:id="21" w:name="_Toc126599750"/>
      <w:r w:rsidRPr="00BE5FA7">
        <w:t>OBJETIVO</w:t>
      </w:r>
      <w:bookmarkEnd w:id="17"/>
      <w:bookmarkEnd w:id="18"/>
      <w:bookmarkEnd w:id="19"/>
      <w:bookmarkEnd w:id="20"/>
      <w:bookmarkEnd w:id="21"/>
    </w:p>
    <w:p w14:paraId="289AFF4E" w14:textId="7366F8D3" w:rsidR="00AA0B6B" w:rsidRDefault="00AA0B6B" w:rsidP="00AA0B6B">
      <w:pPr>
        <w:pStyle w:val="Standardtext"/>
        <w:spacing w:before="0" w:after="120"/>
        <w:ind w:left="284"/>
        <w:jc w:val="both"/>
        <w:rPr>
          <w:rFonts w:ascii="Arial" w:hAnsi="Arial" w:cs="Arial"/>
          <w:lang w:val="es-SV"/>
        </w:rPr>
      </w:pPr>
      <w:bookmarkStart w:id="22" w:name="_Toc5699614"/>
      <w:bookmarkStart w:id="23" w:name="_Toc5891020"/>
      <w:bookmarkStart w:id="24" w:name="_Toc5892159"/>
      <w:bookmarkStart w:id="25" w:name="_Toc5897969"/>
      <w:r w:rsidRPr="00AA0B6B">
        <w:rPr>
          <w:rFonts w:ascii="Arial" w:hAnsi="Arial" w:cs="Arial"/>
          <w:lang w:val="es-SV"/>
        </w:rPr>
        <w:t>Establecer las reglas de administración y funcionamiento del Transfer 365 o Sistema de Pagos Masivos, regular los derechos y obligaciones de los Participantes, así como del Banco Central de Reserva de El Salvador, como Administrador.</w:t>
      </w:r>
    </w:p>
    <w:p w14:paraId="2C383B9E" w14:textId="77777777" w:rsidR="00E569E2" w:rsidRDefault="00E569E2" w:rsidP="00AA0B6B">
      <w:pPr>
        <w:pStyle w:val="Standardtext"/>
        <w:spacing w:before="0" w:after="120"/>
        <w:ind w:left="284"/>
        <w:jc w:val="both"/>
        <w:rPr>
          <w:rFonts w:ascii="Arial" w:hAnsi="Arial" w:cs="Arial"/>
          <w:lang w:val="es-SV"/>
        </w:rPr>
      </w:pPr>
    </w:p>
    <w:p w14:paraId="3B68C118" w14:textId="77777777" w:rsidR="00E569E2" w:rsidRDefault="00E569E2" w:rsidP="00AA0B6B">
      <w:pPr>
        <w:pStyle w:val="Standardtext"/>
        <w:spacing w:before="0" w:after="120"/>
        <w:ind w:left="284"/>
        <w:jc w:val="both"/>
        <w:rPr>
          <w:rFonts w:ascii="Arial" w:hAnsi="Arial" w:cs="Arial"/>
          <w:lang w:val="es-SV"/>
        </w:rPr>
      </w:pPr>
    </w:p>
    <w:p w14:paraId="76406F87" w14:textId="77777777" w:rsidR="00E569E2" w:rsidRDefault="00E569E2" w:rsidP="00AA0B6B">
      <w:pPr>
        <w:pStyle w:val="Standardtext"/>
        <w:spacing w:before="0" w:after="120"/>
        <w:ind w:left="284"/>
        <w:jc w:val="both"/>
        <w:rPr>
          <w:rFonts w:ascii="Arial" w:hAnsi="Arial" w:cs="Arial"/>
          <w:lang w:val="es-SV"/>
        </w:rPr>
      </w:pPr>
    </w:p>
    <w:p w14:paraId="3702AA7F" w14:textId="77777777" w:rsidR="00897122" w:rsidRPr="00BE5FA7" w:rsidRDefault="00897122" w:rsidP="004C148D">
      <w:pPr>
        <w:pStyle w:val="Ttulo1"/>
        <w:ind w:left="284" w:hanging="284"/>
      </w:pPr>
      <w:bookmarkStart w:id="26" w:name="_Toc126599751"/>
      <w:r w:rsidRPr="00BE5FA7">
        <w:lastRenderedPageBreak/>
        <w:t>DEFINICIONES</w:t>
      </w:r>
      <w:bookmarkEnd w:id="22"/>
      <w:bookmarkEnd w:id="23"/>
      <w:bookmarkEnd w:id="24"/>
      <w:bookmarkEnd w:id="25"/>
      <w:bookmarkEnd w:id="26"/>
    </w:p>
    <w:p w14:paraId="7C53AA7E" w14:textId="77777777" w:rsidR="00464168" w:rsidRPr="00BE5FA7" w:rsidRDefault="00464168" w:rsidP="004C148D">
      <w:pPr>
        <w:ind w:left="284"/>
        <w:rPr>
          <w:rFonts w:ascii="Arial" w:eastAsia="Calibri" w:hAnsi="Arial" w:cs="Arial"/>
          <w:sz w:val="22"/>
          <w:szCs w:val="22"/>
          <w:lang w:val="es-MX" w:eastAsia="en-US"/>
        </w:rPr>
      </w:pPr>
      <w:r w:rsidRPr="00BE5FA7">
        <w:rPr>
          <w:rFonts w:ascii="Arial" w:eastAsia="Calibri" w:hAnsi="Arial" w:cs="Arial"/>
          <w:sz w:val="22"/>
          <w:szCs w:val="22"/>
          <w:lang w:val="es-MX" w:eastAsia="en-US"/>
        </w:rPr>
        <w:t>Para los propósitos del presente Instructivo, se entenderá por:</w:t>
      </w:r>
    </w:p>
    <w:p w14:paraId="6F0C5EBA" w14:textId="30C5A3E1" w:rsidR="00AB6EF0" w:rsidRPr="00A16BC9" w:rsidRDefault="00633DF0" w:rsidP="00D2510A">
      <w:pPr>
        <w:pStyle w:val="Standardtext"/>
        <w:numPr>
          <w:ilvl w:val="1"/>
          <w:numId w:val="6"/>
        </w:numPr>
        <w:spacing w:before="240" w:after="240"/>
        <w:ind w:left="851" w:hanging="567"/>
        <w:jc w:val="both"/>
        <w:rPr>
          <w:rFonts w:ascii="Arial" w:hAnsi="Arial" w:cs="Arial"/>
          <w:b/>
          <w:lang w:val="es-MX"/>
        </w:rPr>
      </w:pPr>
      <w:r w:rsidRPr="00633DF0">
        <w:rPr>
          <w:rFonts w:ascii="Arial" w:hAnsi="Arial" w:cs="Arial"/>
          <w:b/>
          <w:lang w:val="es-MX"/>
        </w:rPr>
        <w:t xml:space="preserve">Archivos: </w:t>
      </w:r>
      <w:r w:rsidRPr="00633DF0">
        <w:rPr>
          <w:rFonts w:ascii="Arial" w:hAnsi="Arial" w:cs="Arial"/>
          <w:bCs/>
          <w:lang w:val="es-MX"/>
        </w:rPr>
        <w:t xml:space="preserve">Se refiere a los archivos electrónicos constituidos por un lote, y éste a su vez por una o un </w:t>
      </w:r>
      <w:r w:rsidRPr="00173774">
        <w:rPr>
          <w:rFonts w:ascii="Arial" w:hAnsi="Arial" w:cs="Arial"/>
          <w:bCs/>
          <w:lang w:val="es-MX"/>
        </w:rPr>
        <w:t>conjunto de transferencias</w:t>
      </w:r>
      <w:r w:rsidRPr="00633DF0">
        <w:rPr>
          <w:rFonts w:ascii="Arial" w:hAnsi="Arial" w:cs="Arial"/>
          <w:bCs/>
          <w:lang w:val="es-MX"/>
        </w:rPr>
        <w:t xml:space="preserve"> de créditos </w:t>
      </w:r>
      <w:r w:rsidR="004D010A">
        <w:rPr>
          <w:rFonts w:ascii="Arial" w:hAnsi="Arial" w:cs="Arial"/>
          <w:bCs/>
          <w:lang w:val="es-MX"/>
        </w:rPr>
        <w:t>o</w:t>
      </w:r>
      <w:r w:rsidR="001C1BFA">
        <w:rPr>
          <w:rFonts w:ascii="Arial" w:hAnsi="Arial" w:cs="Arial"/>
          <w:bCs/>
          <w:lang w:val="es-MX"/>
        </w:rPr>
        <w:t xml:space="preserve"> </w:t>
      </w:r>
      <w:r w:rsidR="00913861">
        <w:rPr>
          <w:rFonts w:ascii="Arial" w:hAnsi="Arial" w:cs="Arial"/>
          <w:bCs/>
          <w:lang w:val="es-MX"/>
        </w:rPr>
        <w:t xml:space="preserve">mensajes de confirmación o </w:t>
      </w:r>
      <w:r w:rsidR="005F6A0F">
        <w:rPr>
          <w:rFonts w:ascii="Arial" w:hAnsi="Arial" w:cs="Arial"/>
          <w:bCs/>
          <w:lang w:val="es-MX"/>
        </w:rPr>
        <w:t>verificación</w:t>
      </w:r>
      <w:r w:rsidR="004D010A">
        <w:rPr>
          <w:rFonts w:ascii="Arial" w:hAnsi="Arial" w:cs="Arial"/>
          <w:bCs/>
          <w:lang w:val="es-MX"/>
        </w:rPr>
        <w:t xml:space="preserve"> </w:t>
      </w:r>
      <w:r w:rsidRPr="00633DF0">
        <w:rPr>
          <w:rFonts w:ascii="Arial" w:hAnsi="Arial" w:cs="Arial"/>
          <w:bCs/>
          <w:lang w:val="es-MX"/>
        </w:rPr>
        <w:t>individuales</w:t>
      </w:r>
      <w:r w:rsidR="007E5593">
        <w:rPr>
          <w:rFonts w:ascii="Arial" w:hAnsi="Arial" w:cs="Arial"/>
          <w:bCs/>
          <w:lang w:val="es-MX"/>
        </w:rPr>
        <w:t>, los cuales pueden ser</w:t>
      </w:r>
      <w:r w:rsidR="007F572D">
        <w:rPr>
          <w:rFonts w:ascii="Arial" w:hAnsi="Arial" w:cs="Arial"/>
          <w:bCs/>
          <w:lang w:val="es-MX"/>
        </w:rPr>
        <w:t>:</w:t>
      </w:r>
    </w:p>
    <w:p w14:paraId="4592D1FE" w14:textId="79628959" w:rsidR="00A16BC9" w:rsidRPr="00A16BC9" w:rsidRDefault="00A16BC9" w:rsidP="00A16BC9">
      <w:pPr>
        <w:pStyle w:val="Standardtext"/>
        <w:numPr>
          <w:ilvl w:val="2"/>
          <w:numId w:val="6"/>
        </w:numPr>
        <w:spacing w:before="240" w:after="240"/>
        <w:ind w:left="1418" w:hanging="567"/>
        <w:jc w:val="both"/>
        <w:rPr>
          <w:rFonts w:ascii="Arial" w:hAnsi="Arial" w:cs="Arial"/>
          <w:b/>
          <w:bCs/>
          <w:lang w:val="es-MX"/>
        </w:rPr>
      </w:pPr>
      <w:r w:rsidRPr="00A16BC9">
        <w:rPr>
          <w:rFonts w:ascii="Arial" w:hAnsi="Arial" w:cs="Arial"/>
          <w:b/>
          <w:bCs/>
          <w:lang w:val="es-MX"/>
        </w:rPr>
        <w:t xml:space="preserve">Archivo de Cancelación de Transferencias de Crédito: </w:t>
      </w:r>
      <w:r w:rsidRPr="00A16BC9">
        <w:rPr>
          <w:rFonts w:ascii="Arial" w:hAnsi="Arial" w:cs="Arial"/>
          <w:lang w:val="es-MX"/>
        </w:rPr>
        <w:t>Archivo electrónico constituido por un lote y éste a su vez por una o un conjunto de transferencias de fondos individuales que no pudieron ser trasladados al Participante destino, el cual es enviado a los Participantes que originaron el pago.</w:t>
      </w:r>
    </w:p>
    <w:p w14:paraId="734F7FB4" w14:textId="56BEE523" w:rsidR="00A16BC9" w:rsidRPr="00A16BC9" w:rsidRDefault="00A16BC9" w:rsidP="00A16BC9">
      <w:pPr>
        <w:pStyle w:val="Standardtext"/>
        <w:numPr>
          <w:ilvl w:val="2"/>
          <w:numId w:val="6"/>
        </w:numPr>
        <w:spacing w:before="240" w:after="240"/>
        <w:ind w:left="1418" w:hanging="567"/>
        <w:jc w:val="both"/>
        <w:rPr>
          <w:rFonts w:ascii="Arial" w:hAnsi="Arial" w:cs="Arial"/>
          <w:b/>
          <w:bCs/>
          <w:lang w:val="es-MX"/>
        </w:rPr>
      </w:pPr>
      <w:r w:rsidRPr="00A16BC9">
        <w:rPr>
          <w:rFonts w:ascii="Arial" w:hAnsi="Arial" w:cs="Arial"/>
          <w:b/>
          <w:bCs/>
          <w:lang w:val="es-MX"/>
        </w:rPr>
        <w:t xml:space="preserve">Archivo de Confirmación de Transferencias de Crédito: </w:t>
      </w:r>
      <w:r w:rsidRPr="00A16BC9">
        <w:rPr>
          <w:rFonts w:ascii="Arial" w:hAnsi="Arial" w:cs="Arial"/>
          <w:lang w:val="es-MX"/>
        </w:rPr>
        <w:t>Archivo electrónico constituido por un lote y éste a su vez por una o un conjunto de ítems individuales, el cual es enviado a los Participantes que originaron el pago con el detalle de todas las transferencias de fondos acreditadas al beneficiario final.</w:t>
      </w:r>
    </w:p>
    <w:p w14:paraId="3E5C7C1A" w14:textId="74694A3A" w:rsidR="00A16BC9" w:rsidRPr="00A16BC9" w:rsidRDefault="00A16BC9" w:rsidP="00A16BC9">
      <w:pPr>
        <w:pStyle w:val="Standardtext"/>
        <w:numPr>
          <w:ilvl w:val="2"/>
          <w:numId w:val="6"/>
        </w:numPr>
        <w:spacing w:before="240" w:after="240"/>
        <w:ind w:left="1418" w:hanging="567"/>
        <w:jc w:val="both"/>
        <w:rPr>
          <w:rFonts w:ascii="Arial" w:hAnsi="Arial" w:cs="Arial"/>
          <w:b/>
          <w:bCs/>
          <w:lang w:val="es-MX"/>
        </w:rPr>
      </w:pPr>
      <w:r w:rsidRPr="00A16BC9">
        <w:rPr>
          <w:rFonts w:ascii="Arial" w:hAnsi="Arial" w:cs="Arial"/>
          <w:b/>
          <w:bCs/>
          <w:lang w:val="es-MX"/>
        </w:rPr>
        <w:t xml:space="preserve">Archivo de Devolución de Transferencias de Crédito: </w:t>
      </w:r>
      <w:r w:rsidRPr="00A16BC9">
        <w:rPr>
          <w:rFonts w:ascii="Arial" w:hAnsi="Arial" w:cs="Arial"/>
          <w:lang w:val="es-MX"/>
        </w:rPr>
        <w:t>Archivo electrónico constituido por un lote y éste a su vez por una o un conjunto de transferencias de fondos individuales devueltas por alguno de los motivos definidos en este Instructivo, el cual es enviado a los Participantes que originaron el pago.</w:t>
      </w:r>
    </w:p>
    <w:p w14:paraId="7D726592" w14:textId="06517D19" w:rsidR="00A16BC9" w:rsidRPr="00A16BC9" w:rsidRDefault="00A16BC9" w:rsidP="00A16BC9">
      <w:pPr>
        <w:pStyle w:val="Standardtext"/>
        <w:numPr>
          <w:ilvl w:val="2"/>
          <w:numId w:val="6"/>
        </w:numPr>
        <w:spacing w:before="240" w:after="240"/>
        <w:ind w:left="1418" w:hanging="567"/>
        <w:jc w:val="both"/>
        <w:rPr>
          <w:rFonts w:ascii="Arial" w:hAnsi="Arial" w:cs="Arial"/>
          <w:b/>
          <w:bCs/>
          <w:lang w:val="es-MX"/>
        </w:rPr>
      </w:pPr>
      <w:r w:rsidRPr="00A16BC9">
        <w:rPr>
          <w:rFonts w:ascii="Arial" w:hAnsi="Arial" w:cs="Arial"/>
          <w:b/>
          <w:bCs/>
          <w:lang w:val="es-MX"/>
        </w:rPr>
        <w:t xml:space="preserve">Archivo de Transferencias de Crédito: </w:t>
      </w:r>
      <w:r w:rsidRPr="00A16BC9">
        <w:rPr>
          <w:rFonts w:ascii="Arial" w:hAnsi="Arial" w:cs="Arial"/>
          <w:lang w:val="es-MX"/>
        </w:rPr>
        <w:t>Archivo electrónico constituido por un lote y este a su vez por una o un conjunto de transferencias de fondos individuales, enviados hacia uno o varios Participantes destinos.</w:t>
      </w:r>
    </w:p>
    <w:p w14:paraId="62C65ECA" w14:textId="5BD7BF6A" w:rsidR="0006308F" w:rsidRDefault="0006308F" w:rsidP="005451D0">
      <w:pPr>
        <w:pStyle w:val="Standardtext"/>
        <w:numPr>
          <w:ilvl w:val="2"/>
          <w:numId w:val="6"/>
        </w:numPr>
        <w:spacing w:before="240" w:after="240"/>
        <w:ind w:left="1418" w:hanging="578"/>
        <w:jc w:val="both"/>
        <w:rPr>
          <w:rFonts w:ascii="Arial" w:hAnsi="Arial" w:cs="Arial"/>
          <w:bCs/>
          <w:lang w:val="es-MX"/>
        </w:rPr>
      </w:pPr>
      <w:bookmarkStart w:id="27" w:name="_Toc5699620"/>
      <w:r w:rsidRPr="00BE5FA7">
        <w:rPr>
          <w:rFonts w:ascii="Arial" w:hAnsi="Arial" w:cs="Arial"/>
          <w:b/>
          <w:lang w:val="es-MX"/>
        </w:rPr>
        <w:t>Archivo de Verificación de Cuentas:</w:t>
      </w:r>
      <w:r w:rsidRPr="00BE5FA7">
        <w:rPr>
          <w:rFonts w:ascii="Arial" w:hAnsi="Arial" w:cs="Arial"/>
          <w:bCs/>
          <w:lang w:val="es-MX"/>
        </w:rPr>
        <w:t xml:space="preserve"> </w:t>
      </w:r>
      <w:r w:rsidR="005F137B">
        <w:rPr>
          <w:rFonts w:ascii="Arial" w:hAnsi="Arial" w:cs="Arial"/>
          <w:bCs/>
          <w:lang w:val="es-MX"/>
        </w:rPr>
        <w:t>A</w:t>
      </w:r>
      <w:r w:rsidR="00287A50" w:rsidRPr="00BE5FA7">
        <w:rPr>
          <w:rFonts w:ascii="Arial" w:hAnsi="Arial" w:cs="Arial"/>
          <w:bCs/>
          <w:lang w:val="es-MX"/>
        </w:rPr>
        <w:t>rchivo electrónico c</w:t>
      </w:r>
      <w:r w:rsidRPr="00BE5FA7">
        <w:rPr>
          <w:rFonts w:ascii="Arial" w:hAnsi="Arial" w:cs="Arial"/>
          <w:bCs/>
          <w:lang w:val="es-MX"/>
        </w:rPr>
        <w:t xml:space="preserve">onstituido por un lote, y este a su vez por un conjunto de datos de cuentas individuales a validar, pertenecientes a un único </w:t>
      </w:r>
      <w:r w:rsidR="00EB68BE">
        <w:rPr>
          <w:rFonts w:ascii="Arial" w:hAnsi="Arial" w:cs="Arial"/>
          <w:bCs/>
          <w:lang w:val="es-MX"/>
        </w:rPr>
        <w:t>Participante</w:t>
      </w:r>
      <w:r w:rsidR="00244E0F" w:rsidRPr="00BE5FA7">
        <w:rPr>
          <w:rFonts w:ascii="Arial" w:hAnsi="Arial" w:cs="Arial"/>
          <w:bCs/>
          <w:lang w:val="es-MX"/>
        </w:rPr>
        <w:t xml:space="preserve"> origen.</w:t>
      </w:r>
      <w:bookmarkEnd w:id="27"/>
    </w:p>
    <w:p w14:paraId="7D05EFE1" w14:textId="77777777" w:rsidR="00A16BC9" w:rsidRPr="00BE5FA7" w:rsidRDefault="00A16BC9" w:rsidP="00A16BC9">
      <w:pPr>
        <w:pStyle w:val="Standardtext"/>
        <w:numPr>
          <w:ilvl w:val="1"/>
          <w:numId w:val="6"/>
        </w:numPr>
        <w:spacing w:before="240" w:after="240"/>
        <w:ind w:left="851" w:hanging="567"/>
        <w:jc w:val="both"/>
        <w:rPr>
          <w:rFonts w:ascii="Arial" w:hAnsi="Arial" w:cs="Arial"/>
          <w:lang w:val="es-MX"/>
        </w:rPr>
      </w:pPr>
      <w:bookmarkStart w:id="28" w:name="_Toc5699621"/>
      <w:r w:rsidRPr="00BE5FA7">
        <w:rPr>
          <w:rFonts w:ascii="Arial" w:hAnsi="Arial" w:cs="Arial"/>
          <w:b/>
          <w:lang w:val="es-MX"/>
        </w:rPr>
        <w:t>BCR:</w:t>
      </w:r>
      <w:r w:rsidRPr="00BE5FA7">
        <w:rPr>
          <w:rFonts w:ascii="Arial" w:hAnsi="Arial" w:cs="Arial"/>
          <w:lang w:val="es-MX"/>
        </w:rPr>
        <w:t xml:space="preserve"> Banco Central de Reserva de El Salvador.</w:t>
      </w:r>
      <w:bookmarkEnd w:id="28"/>
    </w:p>
    <w:p w14:paraId="7ED72D94" w14:textId="170CF5FD" w:rsidR="00A16BC9" w:rsidRDefault="00A16BC9" w:rsidP="00A16BC9">
      <w:pPr>
        <w:pStyle w:val="Standardtext"/>
        <w:numPr>
          <w:ilvl w:val="1"/>
          <w:numId w:val="6"/>
        </w:numPr>
        <w:spacing w:before="240" w:after="240"/>
        <w:ind w:left="851" w:hanging="567"/>
        <w:jc w:val="both"/>
        <w:rPr>
          <w:rFonts w:ascii="Arial" w:hAnsi="Arial" w:cs="Arial"/>
          <w:b/>
          <w:lang w:val="es-MX"/>
        </w:rPr>
      </w:pPr>
      <w:r w:rsidRPr="00A16BC9">
        <w:rPr>
          <w:rFonts w:ascii="Arial" w:hAnsi="Arial" w:cs="Arial"/>
          <w:b/>
          <w:lang w:val="es-MX"/>
        </w:rPr>
        <w:t xml:space="preserve">Ciclo de Liquidación: </w:t>
      </w:r>
      <w:r w:rsidRPr="00AE06E1">
        <w:rPr>
          <w:rFonts w:ascii="Arial" w:hAnsi="Arial" w:cs="Arial"/>
          <w:bCs/>
          <w:lang w:val="es-MX"/>
        </w:rPr>
        <w:t>Proceso que consta de las siguientes etapas:</w:t>
      </w:r>
    </w:p>
    <w:p w14:paraId="67459BB0" w14:textId="4382D46C" w:rsidR="00AE06E1" w:rsidRPr="00AE06E1" w:rsidRDefault="00AE06E1" w:rsidP="00AE06E1">
      <w:pPr>
        <w:pStyle w:val="Standardtext"/>
        <w:numPr>
          <w:ilvl w:val="2"/>
          <w:numId w:val="6"/>
        </w:numPr>
        <w:spacing w:before="240" w:after="240"/>
        <w:ind w:left="1418" w:hanging="567"/>
        <w:jc w:val="both"/>
        <w:rPr>
          <w:rFonts w:ascii="Arial" w:hAnsi="Arial" w:cs="Arial"/>
          <w:b/>
          <w:lang w:val="es-MX"/>
        </w:rPr>
      </w:pPr>
      <w:r w:rsidRPr="00AE06E1">
        <w:rPr>
          <w:rFonts w:ascii="Arial" w:hAnsi="Arial" w:cs="Arial"/>
          <w:b/>
          <w:lang w:val="es-MX"/>
        </w:rPr>
        <w:t xml:space="preserve">Reserva de Fondos: </w:t>
      </w:r>
      <w:r w:rsidRPr="00AE06E1">
        <w:rPr>
          <w:rFonts w:ascii="Arial" w:hAnsi="Arial" w:cs="Arial"/>
          <w:bCs/>
          <w:lang w:val="es-MX"/>
        </w:rPr>
        <w:t>Mecanismo colateral el cual se ejecuta al inicio de cada ciclo de liquidación</w:t>
      </w:r>
      <w:r w:rsidR="003E1DCD">
        <w:rPr>
          <w:rFonts w:ascii="Arial" w:hAnsi="Arial" w:cs="Arial"/>
          <w:bCs/>
          <w:lang w:val="es-MX"/>
        </w:rPr>
        <w:t>,</w:t>
      </w:r>
      <w:r w:rsidRPr="00AE06E1">
        <w:rPr>
          <w:rFonts w:ascii="Arial" w:hAnsi="Arial" w:cs="Arial"/>
          <w:bCs/>
          <w:lang w:val="es-MX"/>
        </w:rPr>
        <w:t xml:space="preserve"> para garantizar los derechos y obligaciones de los </w:t>
      </w:r>
      <w:r w:rsidR="003E1DCD">
        <w:rPr>
          <w:rFonts w:ascii="Arial" w:hAnsi="Arial" w:cs="Arial"/>
          <w:bCs/>
          <w:lang w:val="es-MX"/>
        </w:rPr>
        <w:t>P</w:t>
      </w:r>
      <w:r w:rsidRPr="00AE06E1">
        <w:rPr>
          <w:rFonts w:ascii="Arial" w:hAnsi="Arial" w:cs="Arial"/>
          <w:bCs/>
          <w:lang w:val="es-MX"/>
        </w:rPr>
        <w:t>articipantes, derivado de las ordenes de transferencias de fondos o pagos enviados al sistema.</w:t>
      </w:r>
    </w:p>
    <w:p w14:paraId="63D46886" w14:textId="70249566" w:rsidR="00AE06E1" w:rsidRPr="00AE06E1" w:rsidRDefault="00AE06E1" w:rsidP="00AE06E1">
      <w:pPr>
        <w:pStyle w:val="Standardtext"/>
        <w:numPr>
          <w:ilvl w:val="2"/>
          <w:numId w:val="6"/>
        </w:numPr>
        <w:spacing w:before="240" w:after="240"/>
        <w:ind w:left="1418" w:hanging="567"/>
        <w:jc w:val="both"/>
        <w:rPr>
          <w:rFonts w:ascii="Arial" w:hAnsi="Arial" w:cs="Arial"/>
          <w:b/>
          <w:lang w:val="es-MX"/>
        </w:rPr>
      </w:pPr>
      <w:r w:rsidRPr="00AE06E1">
        <w:rPr>
          <w:rFonts w:ascii="Arial" w:hAnsi="Arial" w:cs="Arial"/>
          <w:b/>
          <w:lang w:val="es-MX"/>
        </w:rPr>
        <w:lastRenderedPageBreak/>
        <w:t xml:space="preserve">Envío de Archivo de Transferencias de Crédito: </w:t>
      </w:r>
      <w:r w:rsidRPr="00AE06E1">
        <w:rPr>
          <w:rFonts w:ascii="Arial" w:hAnsi="Arial" w:cs="Arial"/>
          <w:bCs/>
          <w:lang w:val="es-MX"/>
        </w:rPr>
        <w:t>Transmisión electrónica de los archivos de transferencias de crédito durante el período de tiempo definido en el presente Instructivo.</w:t>
      </w:r>
    </w:p>
    <w:p w14:paraId="468451C1" w14:textId="277A9690" w:rsidR="00AE06E1" w:rsidRPr="00AE06E1" w:rsidRDefault="00AE06E1" w:rsidP="00AE06E1">
      <w:pPr>
        <w:pStyle w:val="Standardtext"/>
        <w:numPr>
          <w:ilvl w:val="2"/>
          <w:numId w:val="6"/>
        </w:numPr>
        <w:spacing w:before="240" w:after="240"/>
        <w:ind w:left="1418" w:hanging="567"/>
        <w:jc w:val="both"/>
        <w:rPr>
          <w:rFonts w:ascii="Arial" w:hAnsi="Arial" w:cs="Arial"/>
          <w:b/>
          <w:lang w:val="es-MX"/>
        </w:rPr>
      </w:pPr>
      <w:r w:rsidRPr="00AE06E1">
        <w:rPr>
          <w:rFonts w:ascii="Arial" w:hAnsi="Arial" w:cs="Arial"/>
          <w:b/>
          <w:lang w:val="es-MX"/>
        </w:rPr>
        <w:t xml:space="preserve">Envío de Archivos de Devolución de Transferencias de Crédito: </w:t>
      </w:r>
      <w:r w:rsidRPr="00780418">
        <w:rPr>
          <w:rFonts w:ascii="Arial" w:hAnsi="Arial" w:cs="Arial"/>
          <w:bCs/>
          <w:lang w:val="es-MX"/>
        </w:rPr>
        <w:t>Transmisión electrónica de los archivos de devolución de transferencias de crédito, por uno de los motivos de devolución definidas en el Anexo 4, durante el período de tiempo definido en el presente Instructivo.</w:t>
      </w:r>
    </w:p>
    <w:p w14:paraId="1199AC5A" w14:textId="543CE7AB" w:rsidR="00AE06E1" w:rsidRPr="00780418" w:rsidRDefault="00AE06E1" w:rsidP="00780418">
      <w:pPr>
        <w:pStyle w:val="Standardtext"/>
        <w:numPr>
          <w:ilvl w:val="2"/>
          <w:numId w:val="6"/>
        </w:numPr>
        <w:spacing w:before="240" w:after="240"/>
        <w:ind w:left="1418" w:hanging="567"/>
        <w:jc w:val="both"/>
        <w:rPr>
          <w:rFonts w:ascii="Arial" w:hAnsi="Arial" w:cs="Arial"/>
          <w:b/>
          <w:lang w:val="es-MX"/>
        </w:rPr>
      </w:pPr>
      <w:r w:rsidRPr="00780418">
        <w:rPr>
          <w:rFonts w:ascii="Arial" w:hAnsi="Arial" w:cs="Arial"/>
          <w:b/>
          <w:lang w:val="es-MX"/>
        </w:rPr>
        <w:t xml:space="preserve">Envío de Archivos de Confirmación de Transferencias de Crédito: </w:t>
      </w:r>
      <w:r w:rsidRPr="00780418">
        <w:rPr>
          <w:rFonts w:ascii="Arial" w:hAnsi="Arial" w:cs="Arial"/>
          <w:bCs/>
          <w:lang w:val="es-MX"/>
        </w:rPr>
        <w:t>Transmisión electrónica de los archivos de confirmación de transferencias de crédito, durante el período de tiempo definido en el presente Instructivo.</w:t>
      </w:r>
    </w:p>
    <w:p w14:paraId="3F90736C" w14:textId="4305DD72" w:rsidR="00AE06E1" w:rsidRPr="00A16BC9" w:rsidRDefault="00AE06E1" w:rsidP="00780418">
      <w:pPr>
        <w:pStyle w:val="Standardtext"/>
        <w:numPr>
          <w:ilvl w:val="2"/>
          <w:numId w:val="6"/>
        </w:numPr>
        <w:spacing w:before="240" w:after="240"/>
        <w:ind w:left="1418" w:hanging="567"/>
        <w:jc w:val="both"/>
        <w:rPr>
          <w:rFonts w:ascii="Arial" w:hAnsi="Arial" w:cs="Arial"/>
          <w:b/>
          <w:lang w:val="es-MX"/>
        </w:rPr>
      </w:pPr>
      <w:r w:rsidRPr="00780418">
        <w:rPr>
          <w:rFonts w:ascii="Arial" w:hAnsi="Arial" w:cs="Arial"/>
          <w:b/>
          <w:lang w:val="es-MX"/>
        </w:rPr>
        <w:t xml:space="preserve">Liquidación: </w:t>
      </w:r>
      <w:r w:rsidRPr="00780418">
        <w:rPr>
          <w:rFonts w:ascii="Arial" w:hAnsi="Arial" w:cs="Arial"/>
          <w:bCs/>
          <w:lang w:val="es-MX"/>
        </w:rPr>
        <w:t>Acto por medio del cual se extingue una obligación de pago entre dos participantes del S</w:t>
      </w:r>
      <w:r w:rsidR="00D00C60">
        <w:rPr>
          <w:rFonts w:ascii="Arial" w:hAnsi="Arial" w:cs="Arial"/>
          <w:bCs/>
          <w:lang w:val="es-MX"/>
        </w:rPr>
        <w:t>istema de Pagos Masivos</w:t>
      </w:r>
      <w:r w:rsidRPr="00780418">
        <w:rPr>
          <w:rFonts w:ascii="Arial" w:hAnsi="Arial" w:cs="Arial"/>
          <w:bCs/>
          <w:lang w:val="es-MX"/>
        </w:rPr>
        <w:t>, que se perfecciona mediante el registro en las cuentas de ambos. Dicho acto se ejecuta al final de cada ciclo de liquidación definido en el presente Instructivo.</w:t>
      </w:r>
    </w:p>
    <w:p w14:paraId="753983DE" w14:textId="315AE041" w:rsidR="00510324" w:rsidRPr="00884E97" w:rsidRDefault="00510324" w:rsidP="00510324">
      <w:pPr>
        <w:pStyle w:val="Standardtext"/>
        <w:numPr>
          <w:ilvl w:val="1"/>
          <w:numId w:val="6"/>
        </w:numPr>
        <w:spacing w:before="240" w:after="240"/>
        <w:ind w:left="851" w:hanging="567"/>
        <w:jc w:val="both"/>
        <w:rPr>
          <w:rFonts w:ascii="Arial" w:hAnsi="Arial" w:cs="Arial"/>
          <w:b/>
          <w:bCs/>
          <w:lang w:val="es-MX"/>
        </w:rPr>
      </w:pPr>
      <w:bookmarkStart w:id="29" w:name="_Toc5699622"/>
      <w:r w:rsidRPr="00510324">
        <w:rPr>
          <w:rFonts w:ascii="Arial" w:hAnsi="Arial" w:cs="Arial"/>
          <w:b/>
          <w:bCs/>
          <w:lang w:val="es-MX"/>
        </w:rPr>
        <w:t xml:space="preserve">Cliente: </w:t>
      </w:r>
      <w:r w:rsidRPr="00510324">
        <w:rPr>
          <w:rFonts w:ascii="Arial" w:hAnsi="Arial" w:cs="Arial"/>
          <w:lang w:val="es-MX"/>
        </w:rPr>
        <w:t xml:space="preserve">Persona natural o jurídica cuentahabiente de una entidad Participante o que posee habilitado un producto bancario con una entidad </w:t>
      </w:r>
      <w:r w:rsidR="00CA497C">
        <w:rPr>
          <w:rFonts w:ascii="Arial" w:hAnsi="Arial" w:cs="Arial"/>
          <w:lang w:val="es-MX"/>
        </w:rPr>
        <w:t>P</w:t>
      </w:r>
      <w:r w:rsidRPr="00510324">
        <w:rPr>
          <w:rFonts w:ascii="Arial" w:hAnsi="Arial" w:cs="Arial"/>
          <w:lang w:val="es-MX"/>
        </w:rPr>
        <w:t>articipante, que origina o recibe los servicios del Transfer365 a través de la misma, los cuales pueden ser de dos tipos:</w:t>
      </w:r>
    </w:p>
    <w:p w14:paraId="5EE1895A" w14:textId="032A1DE7" w:rsidR="00884E97" w:rsidRPr="00884E97" w:rsidRDefault="00884E97" w:rsidP="00884E97">
      <w:pPr>
        <w:pStyle w:val="Standardtext"/>
        <w:numPr>
          <w:ilvl w:val="2"/>
          <w:numId w:val="6"/>
        </w:numPr>
        <w:spacing w:before="240" w:after="240"/>
        <w:ind w:left="1418" w:hanging="567"/>
        <w:jc w:val="both"/>
        <w:rPr>
          <w:rFonts w:ascii="Arial" w:hAnsi="Arial" w:cs="Arial"/>
          <w:b/>
          <w:bCs/>
          <w:lang w:val="es-MX"/>
        </w:rPr>
      </w:pPr>
      <w:r w:rsidRPr="00884E97">
        <w:rPr>
          <w:rFonts w:ascii="Arial" w:hAnsi="Arial" w:cs="Arial"/>
          <w:b/>
          <w:bCs/>
          <w:lang w:val="es-MX"/>
        </w:rPr>
        <w:t xml:space="preserve">Originador u Ordenante: </w:t>
      </w:r>
      <w:r w:rsidRPr="00884E97">
        <w:rPr>
          <w:rFonts w:ascii="Arial" w:hAnsi="Arial" w:cs="Arial"/>
          <w:lang w:val="es-MX"/>
        </w:rPr>
        <w:t>Persona natural o jurídica que origina pagos con cargo a su cuenta a través del Participante Origen.</w:t>
      </w:r>
    </w:p>
    <w:p w14:paraId="01C9D394" w14:textId="264E2F6A" w:rsidR="00884E97" w:rsidRPr="00884E97" w:rsidRDefault="00884E97" w:rsidP="00884E97">
      <w:pPr>
        <w:pStyle w:val="Standardtext"/>
        <w:numPr>
          <w:ilvl w:val="2"/>
          <w:numId w:val="6"/>
        </w:numPr>
        <w:spacing w:before="240" w:after="240"/>
        <w:ind w:left="1418" w:hanging="567"/>
        <w:jc w:val="both"/>
        <w:rPr>
          <w:rFonts w:ascii="Arial" w:hAnsi="Arial" w:cs="Arial"/>
          <w:b/>
          <w:bCs/>
          <w:lang w:val="es-MX"/>
        </w:rPr>
      </w:pPr>
      <w:r w:rsidRPr="00884E97">
        <w:rPr>
          <w:rFonts w:ascii="Arial" w:hAnsi="Arial" w:cs="Arial"/>
          <w:b/>
          <w:bCs/>
          <w:lang w:val="es-MX"/>
        </w:rPr>
        <w:t xml:space="preserve">Beneficiario o Beneficiario Final: </w:t>
      </w:r>
      <w:r w:rsidRPr="00884E97">
        <w:rPr>
          <w:rFonts w:ascii="Arial" w:hAnsi="Arial" w:cs="Arial"/>
          <w:lang w:val="es-MX"/>
        </w:rPr>
        <w:t>Persona natural o jurídica a quien el Participante destino debe acreditar los fondos en la referencia del producto bancario.</w:t>
      </w:r>
    </w:p>
    <w:bookmarkEnd w:id="29"/>
    <w:p w14:paraId="4C9DFFA4" w14:textId="43024BEC"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Cuenta de Depósito: </w:t>
      </w:r>
      <w:r w:rsidRPr="00FD5560">
        <w:rPr>
          <w:rFonts w:ascii="Arial" w:hAnsi="Arial" w:cs="Arial"/>
          <w:lang w:val="es-MX"/>
        </w:rPr>
        <w:t>Cuenta que los Participantes mantienen en el BCR para la liquidación de sus operaciones en concepto de obligaciones a la vista, de acuerdo con lo establecido en el Contrato o Convenio firmado entre las partes, para tal efecto.</w:t>
      </w:r>
      <w:r w:rsidRPr="00FD5560">
        <w:rPr>
          <w:rFonts w:ascii="Arial" w:hAnsi="Arial" w:cs="Arial"/>
          <w:b/>
          <w:bCs/>
          <w:lang w:val="es-MX"/>
        </w:rPr>
        <w:t xml:space="preserve">  </w:t>
      </w:r>
    </w:p>
    <w:p w14:paraId="4A276869" w14:textId="4E77C5AE"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Cuenta Estandarizada: </w:t>
      </w:r>
      <w:r w:rsidRPr="00FD5560">
        <w:rPr>
          <w:rFonts w:ascii="Arial" w:hAnsi="Arial" w:cs="Arial"/>
          <w:lang w:val="es-MX"/>
        </w:rPr>
        <w:t xml:space="preserve">Consiste en un número único que identifica una cuenta constituida en los Bancos, Bancos Cooperativos o Sociedades de Ahorro y Crédito del país, conformada por una serie de caracteres alfanuméricos con base en el Número de Cuenta Bancaria Internacional (International Bank </w:t>
      </w:r>
      <w:proofErr w:type="spellStart"/>
      <w:r w:rsidRPr="00FD5560">
        <w:rPr>
          <w:rFonts w:ascii="Arial" w:hAnsi="Arial" w:cs="Arial"/>
          <w:lang w:val="es-MX"/>
        </w:rPr>
        <w:t>Account</w:t>
      </w:r>
      <w:proofErr w:type="spellEnd"/>
      <w:r w:rsidRPr="00FD5560">
        <w:rPr>
          <w:rFonts w:ascii="Arial" w:hAnsi="Arial" w:cs="Arial"/>
          <w:lang w:val="es-MX"/>
        </w:rPr>
        <w:t xml:space="preserve"> </w:t>
      </w:r>
      <w:proofErr w:type="spellStart"/>
      <w:r w:rsidRPr="00FD5560">
        <w:rPr>
          <w:rFonts w:ascii="Arial" w:hAnsi="Arial" w:cs="Arial"/>
          <w:lang w:val="es-MX"/>
        </w:rPr>
        <w:t>Number</w:t>
      </w:r>
      <w:proofErr w:type="spellEnd"/>
      <w:r w:rsidRPr="00FD5560">
        <w:rPr>
          <w:rFonts w:ascii="Arial" w:hAnsi="Arial" w:cs="Arial"/>
          <w:lang w:val="es-MX"/>
        </w:rPr>
        <w:t xml:space="preserve">, IBAN, por sus siglas en inglés). Para el caso de El Salvador consta de 28 caracteres y las entidades las determinarán y asignarán a las cuentas de sus </w:t>
      </w:r>
      <w:r w:rsidRPr="00FD5560">
        <w:rPr>
          <w:rFonts w:ascii="Arial" w:hAnsi="Arial" w:cs="Arial"/>
          <w:lang w:val="es-MX"/>
        </w:rPr>
        <w:lastRenderedPageBreak/>
        <w:t>clientes, para que estos puedan transferir electrónicamente fondos entre ellas, por medio del Sistema de Pagos Masivos.</w:t>
      </w:r>
    </w:p>
    <w:p w14:paraId="63E7877D" w14:textId="4DC232EA"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DPV: </w:t>
      </w:r>
      <w:r w:rsidRPr="00FD5560">
        <w:rPr>
          <w:rFonts w:ascii="Arial" w:hAnsi="Arial" w:cs="Arial"/>
          <w:lang w:val="es-MX"/>
        </w:rPr>
        <w:t>Departamento de Pagos y Valores del BCR.</w:t>
      </w:r>
    </w:p>
    <w:p w14:paraId="2E2824BC" w14:textId="2168785F"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Firmeza: </w:t>
      </w:r>
      <w:r w:rsidRPr="00FD5560">
        <w:rPr>
          <w:rFonts w:ascii="Arial" w:hAnsi="Arial" w:cs="Arial"/>
          <w:lang w:val="es-MX"/>
        </w:rPr>
        <w:t>Se refiere a que las órdenes de transferencias de fondos cursadas por los Participantes en un sistema de pagos reconocido y válidamente aceptadas en el mismo; serán firmes, exigibles y oponibles frente a terceros, lo que significa que no podrán ser impugnadas o anuladas por causa alguna, ni siquiera por la incoación de un procedimiento de reorganización o liquidación contra un Participante.</w:t>
      </w:r>
    </w:p>
    <w:p w14:paraId="3FDE98D9" w14:textId="32B86050"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Gateway: </w:t>
      </w:r>
      <w:r w:rsidRPr="00FD5560">
        <w:rPr>
          <w:rFonts w:ascii="Arial" w:hAnsi="Arial" w:cs="Arial"/>
          <w:lang w:val="es-MX"/>
        </w:rPr>
        <w:t>Componente que sirve de interfaz para el tráfico de los archivos que viajan entre el sistema del Banco Central de Reserva de El Salvador y el sistema de los Participantes.</w:t>
      </w:r>
    </w:p>
    <w:p w14:paraId="6653A19F" w14:textId="62BE83F4"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Gerente: </w:t>
      </w:r>
      <w:r w:rsidRPr="00FD5560">
        <w:rPr>
          <w:rFonts w:ascii="Arial" w:hAnsi="Arial" w:cs="Arial"/>
          <w:lang w:val="es-MX"/>
        </w:rPr>
        <w:t>Se refiere a la persona titular del cargo de Gerente de Operaciones Financieras del Banco Central de Reserva de El Salvador.</w:t>
      </w:r>
    </w:p>
    <w:p w14:paraId="41D90A52" w14:textId="2928F084"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Irrevocable: </w:t>
      </w:r>
      <w:r w:rsidRPr="00FD5560">
        <w:rPr>
          <w:rFonts w:ascii="Arial" w:hAnsi="Arial" w:cs="Arial"/>
          <w:lang w:val="es-MX"/>
        </w:rPr>
        <w:t xml:space="preserve">Se refiere a que las órdenes de transferencias de fondos cursadas por los Participantes a un sistema de pagos </w:t>
      </w:r>
      <w:proofErr w:type="gramStart"/>
      <w:r w:rsidRPr="00FD5560">
        <w:rPr>
          <w:rFonts w:ascii="Arial" w:hAnsi="Arial" w:cs="Arial"/>
          <w:lang w:val="es-MX"/>
        </w:rPr>
        <w:t>reconocido,</w:t>
      </w:r>
      <w:proofErr w:type="gramEnd"/>
      <w:r w:rsidRPr="00FD5560">
        <w:rPr>
          <w:rFonts w:ascii="Arial" w:hAnsi="Arial" w:cs="Arial"/>
          <w:lang w:val="es-MX"/>
        </w:rPr>
        <w:t xml:space="preserve"> no podrán ser retiradas por su ordenante o por terceros a partir del momento determinado por las normas de funcionamiento del sistema.</w:t>
      </w:r>
    </w:p>
    <w:p w14:paraId="229FB326" w14:textId="15149DAD" w:rsidR="00FD5560" w:rsidRPr="00FD5560" w:rsidRDefault="00FD5560" w:rsidP="00FD5560">
      <w:pPr>
        <w:pStyle w:val="Standardtext"/>
        <w:numPr>
          <w:ilvl w:val="1"/>
          <w:numId w:val="6"/>
        </w:numPr>
        <w:spacing w:before="240" w:after="240"/>
        <w:ind w:left="851" w:hanging="567"/>
        <w:jc w:val="both"/>
        <w:rPr>
          <w:rFonts w:ascii="Arial" w:hAnsi="Arial" w:cs="Arial"/>
          <w:b/>
          <w:bCs/>
          <w:lang w:val="es-MX"/>
        </w:rPr>
      </w:pPr>
      <w:r w:rsidRPr="00FD5560">
        <w:rPr>
          <w:rFonts w:ascii="Arial" w:hAnsi="Arial" w:cs="Arial"/>
          <w:b/>
          <w:bCs/>
          <w:lang w:val="es-MX"/>
        </w:rPr>
        <w:t xml:space="preserve">ISO 20022: </w:t>
      </w:r>
      <w:hyperlink r:id="rId15" w:tooltip="Norma técnica" w:history="1">
        <w:r w:rsidRPr="00FD5560">
          <w:rPr>
            <w:rFonts w:ascii="Arial" w:hAnsi="Arial" w:cs="Arial"/>
            <w:lang w:val="es-MX"/>
          </w:rPr>
          <w:t>Estándar</w:t>
        </w:r>
      </w:hyperlink>
      <w:r w:rsidRPr="00FD5560">
        <w:rPr>
          <w:rFonts w:ascii="Arial" w:hAnsi="Arial" w:cs="Arial"/>
          <w:lang w:val="es-MX"/>
        </w:rPr>
        <w:t xml:space="preserve"> para </w:t>
      </w:r>
      <w:hyperlink r:id="rId16" w:tooltip="Intercambio electrónico de datos" w:history="1">
        <w:r w:rsidRPr="00FD5560">
          <w:rPr>
            <w:rFonts w:ascii="Arial" w:hAnsi="Arial" w:cs="Arial"/>
            <w:lang w:val="es-MX"/>
          </w:rPr>
          <w:t>el intercambio electrónico de datos entre instituciones financieras.</w:t>
        </w:r>
      </w:hyperlink>
    </w:p>
    <w:p w14:paraId="52F1B503" w14:textId="65A19ECC" w:rsidR="00FD5560" w:rsidRDefault="00FD5560" w:rsidP="00FD5560">
      <w:pPr>
        <w:pStyle w:val="Standardtext"/>
        <w:numPr>
          <w:ilvl w:val="1"/>
          <w:numId w:val="6"/>
        </w:numPr>
        <w:spacing w:before="240" w:after="240"/>
        <w:ind w:left="851" w:hanging="567"/>
        <w:jc w:val="both"/>
        <w:rPr>
          <w:rFonts w:ascii="Arial" w:hAnsi="Arial" w:cs="Arial"/>
          <w:lang w:val="es-MX"/>
        </w:rPr>
      </w:pPr>
      <w:r w:rsidRPr="00FD5560">
        <w:rPr>
          <w:rFonts w:ascii="Arial" w:hAnsi="Arial" w:cs="Arial"/>
          <w:b/>
          <w:bCs/>
          <w:lang w:val="es-MX"/>
        </w:rPr>
        <w:t xml:space="preserve">Ítem o Registro: </w:t>
      </w:r>
      <w:r w:rsidRPr="00FD5560">
        <w:rPr>
          <w:rFonts w:ascii="Arial" w:hAnsi="Arial" w:cs="Arial"/>
          <w:lang w:val="es-MX"/>
        </w:rPr>
        <w:t>Datos de una transferencia de fondos o cuenta a validar.</w:t>
      </w:r>
    </w:p>
    <w:p w14:paraId="0455E2BC" w14:textId="671B13D8" w:rsidR="00FD5560" w:rsidRPr="007936A8" w:rsidRDefault="00FD5560"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Participante: </w:t>
      </w:r>
      <w:r w:rsidRPr="007936A8">
        <w:rPr>
          <w:rFonts w:ascii="Arial" w:hAnsi="Arial" w:cs="Arial"/>
          <w:lang w:val="es-MX"/>
        </w:rPr>
        <w:t>Entidad financiera, sociedades proveedores de Dinero Electrónico, sujetas a supervisión de la Superintendencia del Sistema Financiero o institución pública, aceptada por el BCR como miembro del Transfer365; la cual deberá tener constituida previamente una cuenta de depósitos en el BCR.</w:t>
      </w:r>
    </w:p>
    <w:p w14:paraId="14D54141" w14:textId="0B90BB3B" w:rsidR="00FD5560" w:rsidRPr="007936A8" w:rsidRDefault="00FD5560" w:rsidP="007936A8">
      <w:pPr>
        <w:pStyle w:val="Standardtext"/>
        <w:numPr>
          <w:ilvl w:val="2"/>
          <w:numId w:val="6"/>
        </w:numPr>
        <w:spacing w:before="240" w:after="240"/>
        <w:ind w:left="1560" w:hanging="709"/>
        <w:jc w:val="both"/>
        <w:rPr>
          <w:rFonts w:ascii="Arial" w:hAnsi="Arial" w:cs="Arial"/>
          <w:b/>
          <w:bCs/>
          <w:lang w:val="es-MX"/>
        </w:rPr>
      </w:pPr>
      <w:r w:rsidRPr="007936A8">
        <w:rPr>
          <w:rFonts w:ascii="Arial" w:hAnsi="Arial" w:cs="Arial"/>
          <w:b/>
          <w:bCs/>
          <w:lang w:val="es-MX"/>
        </w:rPr>
        <w:t xml:space="preserve">Participante Destino: </w:t>
      </w:r>
      <w:r w:rsidRPr="007936A8">
        <w:rPr>
          <w:rFonts w:ascii="Arial" w:hAnsi="Arial" w:cs="Arial"/>
          <w:lang w:val="es-MX"/>
        </w:rPr>
        <w:t>Entidad financiera que recibe archivos de transferencias de crédito y/o de verificación de cuentas para su validación y/o aplicación en las cuentas de los beneficiarios finales.</w:t>
      </w:r>
    </w:p>
    <w:p w14:paraId="4A6B85D3" w14:textId="5142F4E0" w:rsidR="00FD5560" w:rsidRPr="007936A8" w:rsidRDefault="00FD5560" w:rsidP="007936A8">
      <w:pPr>
        <w:pStyle w:val="Standardtext"/>
        <w:numPr>
          <w:ilvl w:val="2"/>
          <w:numId w:val="6"/>
        </w:numPr>
        <w:spacing w:before="240" w:after="240"/>
        <w:ind w:left="1560" w:hanging="709"/>
        <w:jc w:val="both"/>
        <w:rPr>
          <w:rFonts w:ascii="Arial" w:hAnsi="Arial" w:cs="Arial"/>
          <w:b/>
          <w:bCs/>
          <w:lang w:val="es-MX"/>
        </w:rPr>
      </w:pPr>
      <w:r w:rsidRPr="007936A8">
        <w:rPr>
          <w:rFonts w:ascii="Arial" w:hAnsi="Arial" w:cs="Arial"/>
          <w:b/>
          <w:bCs/>
          <w:lang w:val="es-MX"/>
        </w:rPr>
        <w:t>Participante Origen:</w:t>
      </w:r>
      <w:r w:rsidRPr="007936A8">
        <w:rPr>
          <w:rFonts w:ascii="Arial" w:hAnsi="Arial" w:cs="Arial"/>
          <w:lang w:val="es-MX"/>
        </w:rPr>
        <w:t xml:space="preserve"> Institución que remite transferencias de fondos y archivos de cuentas para su verificación, a solicitud </w:t>
      </w:r>
      <w:r w:rsidR="00CA497C">
        <w:rPr>
          <w:rFonts w:ascii="Arial" w:hAnsi="Arial" w:cs="Arial"/>
          <w:lang w:val="es-MX"/>
        </w:rPr>
        <w:t>propia</w:t>
      </w:r>
      <w:r w:rsidRPr="007936A8">
        <w:rPr>
          <w:rFonts w:ascii="Arial" w:hAnsi="Arial" w:cs="Arial"/>
          <w:lang w:val="es-MX"/>
        </w:rPr>
        <w:t xml:space="preserve"> o de sus clientes.</w:t>
      </w:r>
    </w:p>
    <w:p w14:paraId="5576C647" w14:textId="6B24636D" w:rsidR="00FD5560" w:rsidRPr="007936A8" w:rsidRDefault="00FD5560"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lastRenderedPageBreak/>
        <w:t xml:space="preserve">PKI: </w:t>
      </w:r>
      <w:r w:rsidRPr="007936A8">
        <w:rPr>
          <w:rFonts w:ascii="Arial" w:hAnsi="Arial" w:cs="Arial"/>
          <w:lang w:val="es-MX"/>
        </w:rPr>
        <w:t xml:space="preserve">Infraestructura de clave pública (en inglés: </w:t>
      </w:r>
      <w:proofErr w:type="spellStart"/>
      <w:r w:rsidRPr="007936A8">
        <w:rPr>
          <w:rFonts w:ascii="Arial" w:hAnsi="Arial" w:cs="Arial"/>
          <w:lang w:val="es-MX"/>
        </w:rPr>
        <w:t>Public</w:t>
      </w:r>
      <w:proofErr w:type="spellEnd"/>
      <w:r w:rsidRPr="007936A8">
        <w:rPr>
          <w:rFonts w:ascii="Arial" w:hAnsi="Arial" w:cs="Arial"/>
          <w:lang w:val="es-MX"/>
        </w:rPr>
        <w:t xml:space="preserve"> Key </w:t>
      </w:r>
      <w:proofErr w:type="spellStart"/>
      <w:r w:rsidRPr="007936A8">
        <w:rPr>
          <w:rFonts w:ascii="Arial" w:hAnsi="Arial" w:cs="Arial"/>
          <w:lang w:val="es-MX"/>
        </w:rPr>
        <w:t>Infrastructure</w:t>
      </w:r>
      <w:proofErr w:type="spellEnd"/>
      <w:r w:rsidRPr="007936A8">
        <w:rPr>
          <w:rFonts w:ascii="Arial" w:hAnsi="Arial" w:cs="Arial"/>
          <w:lang w:val="es-MX"/>
        </w:rPr>
        <w:t>, PKI) es una combinación de hardware, software, políticas y procedimientos de seguridad, que permiten la ejecución con garantías de operaciones criptográficas, como el cifrado, la firma digital y el no repudio de transacciones electrónicas</w:t>
      </w:r>
    </w:p>
    <w:p w14:paraId="6E073B0A" w14:textId="2670E4F2"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Proceso de liquidación continuo: </w:t>
      </w:r>
      <w:r w:rsidRPr="007936A8">
        <w:rPr>
          <w:rFonts w:ascii="Arial" w:hAnsi="Arial" w:cs="Arial"/>
          <w:lang w:val="es-MX"/>
        </w:rPr>
        <w:t>Proceso automatizado por medio del cual los Archivos de Transferencias de Crédito y Devoluciones de Transferencias de Crédito válidamente aceptados por el Transfer365, se liquidan uno a uno y de forma continua en el Sistema LBTR.</w:t>
      </w:r>
    </w:p>
    <w:p w14:paraId="4891F9BB" w14:textId="77777777"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Proceso de liquidación neto: </w:t>
      </w:r>
      <w:r w:rsidRPr="007936A8">
        <w:rPr>
          <w:rFonts w:ascii="Arial" w:hAnsi="Arial" w:cs="Arial"/>
          <w:lang w:val="es-MX"/>
        </w:rPr>
        <w:t>Proceso que permite la liquidación inmediata de las transferencias de fondos y pagos de los clientes de los Participantes del Transfer365 y de forma diferida en las cuentas de depósitos que los Participantes mantienen en el Banco Central de Reserva de El Salvador con base a la constitución de una reserva de fondos.</w:t>
      </w:r>
    </w:p>
    <w:p w14:paraId="14EB9BC7" w14:textId="5D49B771" w:rsidR="00FD5560"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Referencia de Producto Bancario: </w:t>
      </w:r>
      <w:r w:rsidRPr="007936A8">
        <w:rPr>
          <w:rFonts w:ascii="Arial" w:hAnsi="Arial" w:cs="Arial"/>
          <w:lang w:val="es-MX"/>
        </w:rPr>
        <w:t>Código de identificación relacionado a una cuenta bancaria, tarjetas de crédito, préstamos, número de celular, entre otros, al cual será aplicada una transacción.</w:t>
      </w:r>
    </w:p>
    <w:p w14:paraId="700F40F7" w14:textId="294CD96F"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Sistemas de Pagos: </w:t>
      </w:r>
      <w:r w:rsidRPr="007936A8">
        <w:rPr>
          <w:rFonts w:ascii="Arial" w:hAnsi="Arial" w:cs="Arial"/>
          <w:lang w:val="es-MX"/>
        </w:rPr>
        <w:t>Conjunto de normas, acuerdos, procedimientos y sistemas, que tienen por objeto principal, la ejecución de instrucciones de transferencias de fondos entre sus Participantes.</w:t>
      </w:r>
    </w:p>
    <w:p w14:paraId="043E2E8D" w14:textId="5EF368CA"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Sistema LBTR: </w:t>
      </w:r>
      <w:r w:rsidRPr="007936A8">
        <w:rPr>
          <w:rFonts w:ascii="Arial" w:hAnsi="Arial" w:cs="Arial"/>
          <w:lang w:val="es-MX"/>
        </w:rPr>
        <w:t>Sistema de Liquidación Bruta en Tiempo Real, el cual tiene por objeto la liquidación de instrucciones de pago en las cuentas de depósitos que los Participantes mantienen en el BCR.</w:t>
      </w:r>
      <w:r w:rsidRPr="007936A8">
        <w:rPr>
          <w:rFonts w:ascii="Arial" w:hAnsi="Arial" w:cs="Arial"/>
          <w:b/>
          <w:bCs/>
          <w:lang w:val="es-MX"/>
        </w:rPr>
        <w:t xml:space="preserve">  </w:t>
      </w:r>
    </w:p>
    <w:p w14:paraId="3B07EC51" w14:textId="0F9F2DA6"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Sistema de Pagos Masivos (SPM): </w:t>
      </w:r>
      <w:r w:rsidRPr="007936A8">
        <w:rPr>
          <w:rFonts w:ascii="Arial" w:hAnsi="Arial" w:cs="Arial"/>
          <w:lang w:val="es-MX"/>
        </w:rPr>
        <w:t>Sistema de Pagos administrado por el BCR (en adelante denominado Sistema Transfer365 o Transfer365), por medio del cual, los Participantes podrán remitir transferencias de fondos, pagos de tarjetas de crédito, préstamos, entre otros, instruidos por sus clientes y que posee los siguientes componentes:</w:t>
      </w:r>
    </w:p>
    <w:p w14:paraId="5E1179DD" w14:textId="74D7F283" w:rsidR="00E5496E" w:rsidRPr="000F0F49" w:rsidRDefault="000F0F49" w:rsidP="00D2510A">
      <w:pPr>
        <w:pStyle w:val="Standardtext"/>
        <w:numPr>
          <w:ilvl w:val="2"/>
          <w:numId w:val="6"/>
        </w:numPr>
        <w:spacing w:before="240" w:after="240"/>
        <w:ind w:left="1560" w:hanging="709"/>
        <w:jc w:val="both"/>
        <w:rPr>
          <w:rFonts w:ascii="Arial" w:hAnsi="Arial" w:cs="Arial"/>
          <w:b/>
          <w:bCs/>
          <w:lang w:val="es-MX"/>
        </w:rPr>
      </w:pPr>
      <w:bookmarkStart w:id="30" w:name="_Toc5699625"/>
      <w:r w:rsidRPr="000F0F49">
        <w:rPr>
          <w:rFonts w:ascii="Arial" w:hAnsi="Arial" w:cs="Arial"/>
          <w:b/>
          <w:bCs/>
          <w:lang w:val="es-MX"/>
        </w:rPr>
        <w:t xml:space="preserve">Canales Digitales o Electrónicos: </w:t>
      </w:r>
      <w:r w:rsidR="007936A8" w:rsidRPr="007936A8">
        <w:rPr>
          <w:rFonts w:ascii="Arial" w:hAnsi="Arial" w:cs="Arial"/>
          <w:lang w:val="es-MX"/>
        </w:rPr>
        <w:t>para el presente instructivo se entenderá como canales digitales o electrónicos los siguientes: banca persona, empresarial y banca móvil.</w:t>
      </w:r>
    </w:p>
    <w:p w14:paraId="1E464C4C" w14:textId="1C8B8274" w:rsidR="00F67875" w:rsidRPr="00BE5FA7" w:rsidRDefault="00E57A80" w:rsidP="00D2510A">
      <w:pPr>
        <w:pStyle w:val="Standardtext"/>
        <w:numPr>
          <w:ilvl w:val="2"/>
          <w:numId w:val="6"/>
        </w:numPr>
        <w:spacing w:before="240" w:after="240"/>
        <w:ind w:left="1560" w:hanging="709"/>
        <w:jc w:val="both"/>
        <w:rPr>
          <w:rFonts w:ascii="Arial" w:hAnsi="Arial" w:cs="Arial"/>
          <w:lang w:val="es-MX"/>
        </w:rPr>
      </w:pPr>
      <w:r w:rsidRPr="00E57A80">
        <w:rPr>
          <w:rFonts w:ascii="Arial" w:hAnsi="Arial" w:cs="Arial"/>
          <w:b/>
          <w:bCs/>
          <w:lang w:val="es-MX"/>
        </w:rPr>
        <w:t>Sistema de Compensación:</w:t>
      </w:r>
      <w:r w:rsidRPr="00E57A80">
        <w:rPr>
          <w:rFonts w:ascii="Arial" w:hAnsi="Arial" w:cs="Arial"/>
          <w:lang w:val="es-MX"/>
        </w:rPr>
        <w:t xml:space="preserve"> </w:t>
      </w:r>
      <w:r w:rsidR="007936A8" w:rsidRPr="007936A8">
        <w:rPr>
          <w:rFonts w:ascii="Arial" w:hAnsi="Arial" w:cs="Arial"/>
          <w:lang w:val="es-MX"/>
        </w:rPr>
        <w:t xml:space="preserve">Es el sistema principal dentro del cual opera el Transfer365 y que tiene como función el procesamiento de archivos de transferencias de crédito, devoluciones, confirmaciones y de verificación de </w:t>
      </w:r>
      <w:r w:rsidR="007936A8" w:rsidRPr="007936A8">
        <w:rPr>
          <w:rFonts w:ascii="Arial" w:hAnsi="Arial" w:cs="Arial"/>
          <w:lang w:val="es-MX"/>
        </w:rPr>
        <w:lastRenderedPageBreak/>
        <w:t>cuentas para su procesamiento, así como la descarga del Gateway y la generación de reportes y consultas.</w:t>
      </w:r>
    </w:p>
    <w:p w14:paraId="746B1888" w14:textId="496103EE" w:rsidR="00950EB8" w:rsidRPr="007936A8" w:rsidRDefault="0006035D" w:rsidP="00D2510A">
      <w:pPr>
        <w:pStyle w:val="Standardtext"/>
        <w:numPr>
          <w:ilvl w:val="2"/>
          <w:numId w:val="6"/>
        </w:numPr>
        <w:spacing w:before="240" w:after="240"/>
        <w:ind w:left="1560" w:hanging="709"/>
        <w:jc w:val="both"/>
        <w:rPr>
          <w:rFonts w:ascii="Arial" w:hAnsi="Arial" w:cs="Arial"/>
          <w:b/>
          <w:bCs/>
          <w:lang w:val="es-MX"/>
        </w:rPr>
      </w:pPr>
      <w:r w:rsidRPr="0006035D">
        <w:rPr>
          <w:rFonts w:ascii="Arial" w:hAnsi="Arial" w:cs="Arial"/>
          <w:b/>
          <w:bCs/>
          <w:lang w:val="es-MX"/>
        </w:rPr>
        <w:t>Originador de Pagos (PO por sus siglas en inglés):</w:t>
      </w:r>
      <w:r w:rsidRPr="0006035D">
        <w:rPr>
          <w:rFonts w:ascii="Arial" w:hAnsi="Arial" w:cs="Arial"/>
          <w:lang w:val="es-MX"/>
        </w:rPr>
        <w:t xml:space="preserve"> </w:t>
      </w:r>
      <w:r w:rsidR="007936A8" w:rsidRPr="007936A8">
        <w:rPr>
          <w:rFonts w:ascii="Arial" w:hAnsi="Arial" w:cs="Arial"/>
          <w:lang w:val="es-MX"/>
        </w:rPr>
        <w:t>Es un aplicativo para ser utilizado por los Participantes como contingencia para el registro y autorización manual de los archivos de transferencias de crédito y devoluciones en caso de fallas en sus procesos automáticos o enlaces de comunicación.</w:t>
      </w:r>
    </w:p>
    <w:p w14:paraId="0A9DCC92" w14:textId="69697B1D"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Solicitudes de Verificación de Cuenta: </w:t>
      </w:r>
      <w:r w:rsidRPr="007936A8">
        <w:rPr>
          <w:rFonts w:ascii="Arial" w:hAnsi="Arial" w:cs="Arial"/>
          <w:lang w:val="es-MX"/>
        </w:rPr>
        <w:t xml:space="preserve">Remisión de archivos con solicitudes de validación de cuentas por el Participante origen hacia el Participante destino, a fin de verificar que la cuenta sea válida en </w:t>
      </w:r>
      <w:r w:rsidR="00CA497C">
        <w:rPr>
          <w:rFonts w:ascii="Arial" w:hAnsi="Arial" w:cs="Arial"/>
          <w:lang w:val="es-MX"/>
        </w:rPr>
        <w:t>la</w:t>
      </w:r>
      <w:r w:rsidRPr="007936A8">
        <w:rPr>
          <w:rFonts w:ascii="Arial" w:hAnsi="Arial" w:cs="Arial"/>
          <w:lang w:val="es-MX"/>
        </w:rPr>
        <w:t xml:space="preserve"> institución. Dicha validación podrá ser realizada cuando haya cuentas nuevas y/o actualizaciones.</w:t>
      </w:r>
    </w:p>
    <w:p w14:paraId="4F21F38E" w14:textId="2B48D2F8"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Sistema a Sistema o </w:t>
      </w:r>
      <w:proofErr w:type="spellStart"/>
      <w:r w:rsidRPr="007936A8">
        <w:rPr>
          <w:rFonts w:ascii="Arial" w:hAnsi="Arial" w:cs="Arial"/>
          <w:b/>
          <w:bCs/>
          <w:lang w:val="es-MX"/>
        </w:rPr>
        <w:t>Straight</w:t>
      </w:r>
      <w:proofErr w:type="spellEnd"/>
      <w:r w:rsidRPr="007936A8">
        <w:rPr>
          <w:rFonts w:ascii="Arial" w:hAnsi="Arial" w:cs="Arial"/>
          <w:b/>
          <w:bCs/>
          <w:lang w:val="es-MX"/>
        </w:rPr>
        <w:t xml:space="preserve"> </w:t>
      </w:r>
      <w:proofErr w:type="spellStart"/>
      <w:r w:rsidRPr="007936A8">
        <w:rPr>
          <w:rFonts w:ascii="Arial" w:hAnsi="Arial" w:cs="Arial"/>
          <w:b/>
          <w:bCs/>
          <w:lang w:val="es-MX"/>
        </w:rPr>
        <w:t>Through</w:t>
      </w:r>
      <w:proofErr w:type="spellEnd"/>
      <w:r w:rsidRPr="007936A8">
        <w:rPr>
          <w:rFonts w:ascii="Arial" w:hAnsi="Arial" w:cs="Arial"/>
          <w:b/>
          <w:bCs/>
          <w:lang w:val="es-MX"/>
        </w:rPr>
        <w:t xml:space="preserve"> Processing (STP): </w:t>
      </w:r>
      <w:r w:rsidRPr="007936A8">
        <w:rPr>
          <w:rFonts w:ascii="Arial" w:hAnsi="Arial" w:cs="Arial"/>
          <w:lang w:val="es-MX"/>
        </w:rPr>
        <w:t>Proceso automatizado de transferencias de fondos electrónicas de sistema a sistema, que permite acelerar las transacciones financieras, mediante el procesamiento sin intervención manual, completando así, el ciclo de procesamiento de principio a fin, de forma continua.</w:t>
      </w:r>
    </w:p>
    <w:p w14:paraId="23D25042" w14:textId="2EB2B0AC"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SSF: </w:t>
      </w:r>
      <w:r w:rsidRPr="007936A8">
        <w:rPr>
          <w:rFonts w:ascii="Arial" w:hAnsi="Arial" w:cs="Arial"/>
          <w:lang w:val="es-MX"/>
        </w:rPr>
        <w:t>Superintendencia del Sistema Financiero.</w:t>
      </w:r>
    </w:p>
    <w:p w14:paraId="18309126" w14:textId="68464C63" w:rsidR="007936A8" w:rsidRPr="007936A8" w:rsidRDefault="007936A8" w:rsidP="007936A8">
      <w:pPr>
        <w:pStyle w:val="Standardtext"/>
        <w:numPr>
          <w:ilvl w:val="1"/>
          <w:numId w:val="6"/>
        </w:numPr>
        <w:spacing w:before="240" w:after="240"/>
        <w:ind w:left="851" w:hanging="567"/>
        <w:jc w:val="both"/>
        <w:rPr>
          <w:rFonts w:ascii="Arial" w:hAnsi="Arial" w:cs="Arial"/>
          <w:b/>
          <w:bCs/>
          <w:lang w:val="es-MX"/>
        </w:rPr>
      </w:pPr>
      <w:r w:rsidRPr="007936A8">
        <w:rPr>
          <w:rFonts w:ascii="Arial" w:hAnsi="Arial" w:cs="Arial"/>
          <w:b/>
          <w:bCs/>
          <w:lang w:val="es-MX"/>
        </w:rPr>
        <w:t xml:space="preserve">Transferencias Monetarias: </w:t>
      </w:r>
      <w:r w:rsidRPr="007936A8">
        <w:rPr>
          <w:rFonts w:ascii="Arial" w:hAnsi="Arial" w:cs="Arial"/>
          <w:lang w:val="es-MX"/>
        </w:rPr>
        <w:t>Son los tipos de transferencias que tienen como objetivo la movilización de fondos entre los Participantes del Sistema, las cuales pueden generar las siguientes acciones:</w:t>
      </w:r>
    </w:p>
    <w:p w14:paraId="6BED5B89" w14:textId="412D5D65" w:rsidR="007936A8" w:rsidRPr="00257411" w:rsidRDefault="007936A8" w:rsidP="00257411">
      <w:pPr>
        <w:pStyle w:val="Standardtext"/>
        <w:numPr>
          <w:ilvl w:val="2"/>
          <w:numId w:val="6"/>
        </w:numPr>
        <w:spacing w:before="240" w:after="240"/>
        <w:ind w:left="1560" w:hanging="709"/>
        <w:jc w:val="both"/>
        <w:rPr>
          <w:rFonts w:ascii="Arial" w:hAnsi="Arial" w:cs="Arial"/>
          <w:b/>
          <w:bCs/>
          <w:lang w:val="es-MX"/>
        </w:rPr>
      </w:pPr>
      <w:r w:rsidRPr="00257411">
        <w:rPr>
          <w:rFonts w:ascii="Arial" w:hAnsi="Arial" w:cs="Arial"/>
          <w:b/>
          <w:bCs/>
          <w:lang w:val="es-MX"/>
        </w:rPr>
        <w:t xml:space="preserve">Transferencias de Fondos: </w:t>
      </w:r>
      <w:r w:rsidRPr="00257411">
        <w:rPr>
          <w:rFonts w:ascii="Arial" w:hAnsi="Arial" w:cs="Arial"/>
          <w:lang w:val="es-MX"/>
        </w:rPr>
        <w:t>Transferencia desde un originador u ordenante, que puede ser el mismo Participante origen, hacia un beneficiario final, que puede ser el mismo Participante destino, con la referencia del producto bancario al cual será aplicada la transacción.</w:t>
      </w:r>
    </w:p>
    <w:p w14:paraId="0464B2F4" w14:textId="2631E427" w:rsidR="007936A8" w:rsidRPr="00257411" w:rsidRDefault="007936A8" w:rsidP="00257411">
      <w:pPr>
        <w:pStyle w:val="Standardtext"/>
        <w:numPr>
          <w:ilvl w:val="2"/>
          <w:numId w:val="6"/>
        </w:numPr>
        <w:spacing w:before="240" w:after="240"/>
        <w:ind w:left="1560" w:hanging="709"/>
        <w:jc w:val="both"/>
        <w:rPr>
          <w:rFonts w:ascii="Arial" w:hAnsi="Arial" w:cs="Arial"/>
          <w:b/>
          <w:bCs/>
          <w:lang w:val="es-MX"/>
        </w:rPr>
      </w:pPr>
      <w:r w:rsidRPr="00257411">
        <w:rPr>
          <w:rFonts w:ascii="Arial" w:hAnsi="Arial" w:cs="Arial"/>
          <w:b/>
          <w:bCs/>
          <w:lang w:val="es-MX"/>
        </w:rPr>
        <w:t xml:space="preserve">Devolución de Transferencias de Fondos: </w:t>
      </w:r>
      <w:r w:rsidRPr="00257411">
        <w:rPr>
          <w:rFonts w:ascii="Arial" w:hAnsi="Arial" w:cs="Arial"/>
          <w:lang w:val="es-MX"/>
        </w:rPr>
        <w:t>Transferencia de fondos devuelta por el Participante destino, debido a que por alguna de las causales definidas en el Anexo 4, no es posible aplicar los fondos al beneficiario final.</w:t>
      </w:r>
    </w:p>
    <w:p w14:paraId="3780904F" w14:textId="77777777" w:rsidR="00AB6EF0" w:rsidRPr="00BE5FA7" w:rsidRDefault="00897122" w:rsidP="00CD36D1">
      <w:pPr>
        <w:pStyle w:val="Ttulo1"/>
        <w:ind w:left="284" w:hanging="284"/>
      </w:pPr>
      <w:bookmarkStart w:id="31" w:name="_Toc5699643"/>
      <w:bookmarkStart w:id="32" w:name="_Toc5891021"/>
      <w:bookmarkStart w:id="33" w:name="_Toc5892160"/>
      <w:bookmarkStart w:id="34" w:name="_Toc5897970"/>
      <w:bookmarkStart w:id="35" w:name="_Toc126599752"/>
      <w:bookmarkEnd w:id="30"/>
      <w:r w:rsidRPr="00BE5FA7">
        <w:t>NORMAS GENERALES</w:t>
      </w:r>
      <w:bookmarkStart w:id="36" w:name="_Toc5699644"/>
      <w:bookmarkStart w:id="37" w:name="_Toc5891022"/>
      <w:bookmarkEnd w:id="31"/>
      <w:bookmarkEnd w:id="32"/>
      <w:bookmarkEnd w:id="33"/>
      <w:bookmarkEnd w:id="34"/>
      <w:bookmarkEnd w:id="35"/>
    </w:p>
    <w:p w14:paraId="4A44636B" w14:textId="54D5FFCD" w:rsidR="00AB6EF0" w:rsidRPr="007A0BFF" w:rsidRDefault="00EE33F4" w:rsidP="007A0BFF">
      <w:pPr>
        <w:pStyle w:val="Prrafodelista"/>
        <w:numPr>
          <w:ilvl w:val="1"/>
          <w:numId w:val="14"/>
        </w:numPr>
        <w:spacing w:after="240" w:line="276" w:lineRule="auto"/>
        <w:ind w:left="851" w:hanging="567"/>
        <w:jc w:val="both"/>
        <w:rPr>
          <w:rFonts w:ascii="Arial" w:hAnsi="Arial" w:cs="Arial"/>
          <w:sz w:val="22"/>
          <w:szCs w:val="22"/>
          <w:lang w:val="es-ES"/>
        </w:rPr>
      </w:pPr>
      <w:bookmarkStart w:id="38" w:name="_Toc5699646"/>
      <w:bookmarkStart w:id="39" w:name="_Toc5891024"/>
      <w:bookmarkEnd w:id="36"/>
      <w:bookmarkEnd w:id="37"/>
      <w:r w:rsidRPr="00EE33F4">
        <w:rPr>
          <w:rFonts w:ascii="Arial" w:hAnsi="Arial" w:cs="Arial"/>
          <w:sz w:val="22"/>
          <w:szCs w:val="22"/>
          <w:lang w:val="es-ES"/>
        </w:rPr>
        <w:t>El BCR será el administrador del Transfer365 y responsable de asegurar, regular y divulgar la normativa que reglamente su funcionamiento, además de establecer los horarios y días de operación.</w:t>
      </w:r>
    </w:p>
    <w:p w14:paraId="77E295BB" w14:textId="76DA8C56" w:rsidR="00AA431F" w:rsidRPr="00BE5FA7" w:rsidRDefault="00EE6103" w:rsidP="00D2510A">
      <w:pPr>
        <w:pStyle w:val="Prrafodelista"/>
        <w:numPr>
          <w:ilvl w:val="1"/>
          <w:numId w:val="14"/>
        </w:numPr>
        <w:spacing w:after="240" w:line="276" w:lineRule="auto"/>
        <w:ind w:left="851" w:hanging="567"/>
        <w:jc w:val="both"/>
        <w:rPr>
          <w:rFonts w:ascii="Arial" w:hAnsi="Arial" w:cs="Arial"/>
          <w:sz w:val="22"/>
          <w:szCs w:val="22"/>
          <w:lang w:val="es-ES"/>
        </w:rPr>
      </w:pPr>
      <w:r w:rsidRPr="00EE6103">
        <w:rPr>
          <w:rFonts w:ascii="Arial" w:hAnsi="Arial" w:cs="Arial"/>
          <w:sz w:val="22"/>
          <w:szCs w:val="22"/>
          <w:lang w:val="es-ES"/>
        </w:rPr>
        <w:lastRenderedPageBreak/>
        <w:t xml:space="preserve">Podrán ser </w:t>
      </w:r>
      <w:r w:rsidR="00EB68BE">
        <w:rPr>
          <w:rFonts w:ascii="Arial" w:hAnsi="Arial" w:cs="Arial"/>
          <w:sz w:val="22"/>
          <w:szCs w:val="22"/>
          <w:lang w:val="es-ES"/>
        </w:rPr>
        <w:t>Participante</w:t>
      </w:r>
      <w:r w:rsidRPr="00EE6103">
        <w:rPr>
          <w:rFonts w:ascii="Arial" w:hAnsi="Arial" w:cs="Arial"/>
          <w:sz w:val="22"/>
          <w:szCs w:val="22"/>
          <w:lang w:val="es-ES"/>
        </w:rPr>
        <w:t xml:space="preserve">s del Transfer365, toda entidad financiera sujeta a supervisión de la SSF o entidad pública, que posea cuenta de depósitos en el BCR, que sea </w:t>
      </w:r>
      <w:r w:rsidR="00EB68BE">
        <w:rPr>
          <w:rFonts w:ascii="Arial" w:hAnsi="Arial" w:cs="Arial"/>
          <w:sz w:val="22"/>
          <w:szCs w:val="22"/>
          <w:lang w:val="es-ES"/>
        </w:rPr>
        <w:t>Participante</w:t>
      </w:r>
      <w:r w:rsidRPr="00EE6103">
        <w:rPr>
          <w:rFonts w:ascii="Arial" w:hAnsi="Arial" w:cs="Arial"/>
          <w:sz w:val="22"/>
          <w:szCs w:val="22"/>
          <w:lang w:val="es-ES"/>
        </w:rPr>
        <w:t xml:space="preserve"> del Sistema LBTR y que previo análisis y autorización del BCR haya sido aceptada como miembro del Transfer365; asimismo, el BCR podrá ser </w:t>
      </w:r>
      <w:r w:rsidR="00EB68BE">
        <w:rPr>
          <w:rFonts w:ascii="Arial" w:hAnsi="Arial" w:cs="Arial"/>
          <w:sz w:val="22"/>
          <w:szCs w:val="22"/>
          <w:lang w:val="es-ES"/>
        </w:rPr>
        <w:t>Participante</w:t>
      </w:r>
      <w:r w:rsidRPr="00EE6103">
        <w:rPr>
          <w:rFonts w:ascii="Arial" w:hAnsi="Arial" w:cs="Arial"/>
          <w:sz w:val="22"/>
          <w:szCs w:val="22"/>
          <w:lang w:val="es-ES"/>
        </w:rPr>
        <w:t xml:space="preserve"> del referido sistema para la realización de operaciones propias.</w:t>
      </w:r>
    </w:p>
    <w:p w14:paraId="00CB73DA" w14:textId="77777777" w:rsidR="003226EA" w:rsidRDefault="00897122" w:rsidP="003E1DCD">
      <w:pPr>
        <w:pStyle w:val="Standardtext"/>
        <w:numPr>
          <w:ilvl w:val="1"/>
          <w:numId w:val="14"/>
        </w:numPr>
        <w:spacing w:before="240" w:after="240"/>
        <w:ind w:left="851" w:hanging="567"/>
        <w:jc w:val="both"/>
        <w:rPr>
          <w:rFonts w:ascii="Arial" w:hAnsi="Arial" w:cs="Arial"/>
          <w:lang w:val="es-MX"/>
        </w:rPr>
      </w:pPr>
      <w:r w:rsidRPr="004918CC">
        <w:rPr>
          <w:rFonts w:ascii="Arial" w:hAnsi="Arial" w:cs="Arial"/>
          <w:lang w:val="es-MX"/>
        </w:rPr>
        <w:t xml:space="preserve">Las </w:t>
      </w:r>
      <w:r w:rsidR="00E434AE" w:rsidRPr="004918CC">
        <w:rPr>
          <w:rFonts w:ascii="Arial" w:hAnsi="Arial" w:cs="Arial"/>
          <w:lang w:val="es-MX"/>
        </w:rPr>
        <w:t>T</w:t>
      </w:r>
      <w:r w:rsidR="008D1170" w:rsidRPr="004918CC">
        <w:rPr>
          <w:rFonts w:ascii="Arial" w:hAnsi="Arial" w:cs="Arial"/>
          <w:lang w:val="es-MX"/>
        </w:rPr>
        <w:t xml:space="preserve">ransferencias de </w:t>
      </w:r>
      <w:r w:rsidR="00FE7999" w:rsidRPr="004918CC">
        <w:rPr>
          <w:rFonts w:ascii="Arial" w:hAnsi="Arial" w:cs="Arial"/>
          <w:lang w:val="es-MX"/>
        </w:rPr>
        <w:t>Fondos</w:t>
      </w:r>
      <w:r w:rsidR="008D1170" w:rsidRPr="004918CC">
        <w:rPr>
          <w:rFonts w:ascii="Arial" w:hAnsi="Arial" w:cs="Arial"/>
          <w:lang w:val="es-MX"/>
        </w:rPr>
        <w:t xml:space="preserve"> </w:t>
      </w:r>
      <w:r w:rsidRPr="004918CC">
        <w:rPr>
          <w:rFonts w:ascii="Arial" w:hAnsi="Arial" w:cs="Arial"/>
          <w:lang w:val="es-MX"/>
        </w:rPr>
        <w:t>serán irrevocables cuando sean válidamente aceptad</w:t>
      </w:r>
      <w:r w:rsidR="00CE49F1" w:rsidRPr="004918CC">
        <w:rPr>
          <w:rFonts w:ascii="Arial" w:hAnsi="Arial" w:cs="Arial"/>
          <w:lang w:val="es-MX"/>
        </w:rPr>
        <w:t>a</w:t>
      </w:r>
      <w:r w:rsidRPr="004918CC">
        <w:rPr>
          <w:rFonts w:ascii="Arial" w:hAnsi="Arial" w:cs="Arial"/>
          <w:lang w:val="es-MX"/>
        </w:rPr>
        <w:t xml:space="preserve">s por el </w:t>
      </w:r>
      <w:r w:rsidR="00211E71" w:rsidRPr="004918CC">
        <w:rPr>
          <w:rFonts w:ascii="Arial" w:hAnsi="Arial" w:cs="Arial"/>
          <w:lang w:val="es-MX"/>
        </w:rPr>
        <w:t>s</w:t>
      </w:r>
      <w:r w:rsidRPr="004918CC">
        <w:rPr>
          <w:rFonts w:ascii="Arial" w:hAnsi="Arial" w:cs="Arial"/>
          <w:lang w:val="es-MX"/>
        </w:rPr>
        <w:t>istema</w:t>
      </w:r>
      <w:bookmarkEnd w:id="38"/>
      <w:bookmarkEnd w:id="39"/>
      <w:r w:rsidR="005556AF" w:rsidRPr="004918CC">
        <w:rPr>
          <w:rFonts w:ascii="Arial" w:hAnsi="Arial" w:cs="Arial"/>
          <w:lang w:val="es-MX"/>
        </w:rPr>
        <w:t xml:space="preserve"> </w:t>
      </w:r>
      <w:r w:rsidR="00CE49F1" w:rsidRPr="004918CC">
        <w:rPr>
          <w:rFonts w:ascii="Arial" w:hAnsi="Arial" w:cs="Arial"/>
          <w:lang w:val="es-MX"/>
        </w:rPr>
        <w:t>y</w:t>
      </w:r>
      <w:bookmarkStart w:id="40" w:name="_Toc5699647"/>
      <w:bookmarkStart w:id="41" w:name="_Toc5891025"/>
      <w:r w:rsidRPr="004918CC">
        <w:rPr>
          <w:rFonts w:ascii="Arial" w:hAnsi="Arial" w:cs="Arial"/>
          <w:lang w:val="es-MX"/>
        </w:rPr>
        <w:t xml:space="preserve"> </w:t>
      </w:r>
      <w:r w:rsidR="00B277C7" w:rsidRPr="004918CC">
        <w:rPr>
          <w:rFonts w:ascii="Arial" w:hAnsi="Arial" w:cs="Arial"/>
          <w:lang w:val="es-MX"/>
        </w:rPr>
        <w:t xml:space="preserve">su </w:t>
      </w:r>
      <w:r w:rsidR="00E434AE" w:rsidRPr="004918CC">
        <w:rPr>
          <w:rFonts w:ascii="Arial" w:hAnsi="Arial" w:cs="Arial"/>
          <w:lang w:val="es-MX"/>
        </w:rPr>
        <w:t>F</w:t>
      </w:r>
      <w:r w:rsidR="00B277C7" w:rsidRPr="004918CC">
        <w:rPr>
          <w:rFonts w:ascii="Arial" w:hAnsi="Arial" w:cs="Arial"/>
          <w:lang w:val="es-MX"/>
        </w:rPr>
        <w:t>irmeza será</w:t>
      </w:r>
      <w:r w:rsidRPr="004918CC">
        <w:rPr>
          <w:rFonts w:ascii="Arial" w:hAnsi="Arial" w:cs="Arial"/>
          <w:lang w:val="es-MX"/>
        </w:rPr>
        <w:t xml:space="preserve"> cuando </w:t>
      </w:r>
      <w:r w:rsidR="00E93D74" w:rsidRPr="004918CC">
        <w:rPr>
          <w:rFonts w:ascii="Arial" w:hAnsi="Arial" w:cs="Arial"/>
          <w:lang w:val="es-MX"/>
        </w:rPr>
        <w:t xml:space="preserve">no </w:t>
      </w:r>
      <w:r w:rsidR="005E0F79" w:rsidRPr="004918CC">
        <w:rPr>
          <w:rFonts w:ascii="Arial" w:hAnsi="Arial" w:cs="Arial"/>
          <w:lang w:val="es-MX"/>
        </w:rPr>
        <w:t>sean devuelta</w:t>
      </w:r>
      <w:r w:rsidRPr="004918CC">
        <w:rPr>
          <w:rFonts w:ascii="Arial" w:hAnsi="Arial" w:cs="Arial"/>
          <w:lang w:val="es-MX"/>
        </w:rPr>
        <w:t>s dentro del horario establecido para ello</w:t>
      </w:r>
      <w:r w:rsidR="00CE49F1" w:rsidRPr="004918CC">
        <w:rPr>
          <w:rFonts w:ascii="Arial" w:hAnsi="Arial" w:cs="Arial"/>
          <w:lang w:val="es-MX"/>
        </w:rPr>
        <w:t>.</w:t>
      </w:r>
      <w:r w:rsidR="002C335D" w:rsidRPr="004918CC">
        <w:rPr>
          <w:rFonts w:ascii="Arial" w:hAnsi="Arial" w:cs="Arial"/>
          <w:lang w:val="es-MX"/>
        </w:rPr>
        <w:t xml:space="preserve"> </w:t>
      </w:r>
      <w:r w:rsidR="0079411D" w:rsidRPr="004918CC">
        <w:rPr>
          <w:rFonts w:ascii="Arial" w:hAnsi="Arial" w:cs="Arial"/>
          <w:lang w:val="es-MX"/>
        </w:rPr>
        <w:t xml:space="preserve"> </w:t>
      </w:r>
      <w:bookmarkStart w:id="42" w:name="_Toc5699649"/>
      <w:bookmarkStart w:id="43" w:name="_Toc5891027"/>
      <w:bookmarkEnd w:id="40"/>
      <w:bookmarkEnd w:id="41"/>
    </w:p>
    <w:p w14:paraId="06D70B24" w14:textId="1388C3C7" w:rsidR="00AB6EF0" w:rsidRPr="004918CC" w:rsidRDefault="00E434AE" w:rsidP="003E1DCD">
      <w:pPr>
        <w:pStyle w:val="Standardtext"/>
        <w:numPr>
          <w:ilvl w:val="1"/>
          <w:numId w:val="14"/>
        </w:numPr>
        <w:spacing w:before="240" w:after="240"/>
        <w:ind w:left="851" w:hanging="567"/>
        <w:jc w:val="both"/>
        <w:rPr>
          <w:rFonts w:ascii="Arial" w:hAnsi="Arial" w:cs="Arial"/>
          <w:lang w:val="es-MX"/>
        </w:rPr>
      </w:pPr>
      <w:r w:rsidRPr="004918CC">
        <w:rPr>
          <w:rFonts w:ascii="Arial" w:hAnsi="Arial" w:cs="Arial"/>
          <w:lang w:val="es-MX"/>
        </w:rPr>
        <w:t xml:space="preserve">Cada </w:t>
      </w:r>
      <w:r w:rsidR="00EB68BE" w:rsidRPr="004918CC">
        <w:rPr>
          <w:rFonts w:ascii="Arial" w:hAnsi="Arial" w:cs="Arial"/>
          <w:lang w:val="es-MX"/>
        </w:rPr>
        <w:t>Participante</w:t>
      </w:r>
      <w:r w:rsidR="00897122" w:rsidRPr="004918CC">
        <w:rPr>
          <w:rFonts w:ascii="Arial" w:hAnsi="Arial" w:cs="Arial"/>
          <w:lang w:val="es-MX"/>
        </w:rPr>
        <w:t xml:space="preserve"> </w:t>
      </w:r>
      <w:r w:rsidR="00ED27CD" w:rsidRPr="004918CC">
        <w:rPr>
          <w:rFonts w:ascii="Arial" w:hAnsi="Arial" w:cs="Arial"/>
          <w:lang w:val="es-MX"/>
        </w:rPr>
        <w:t>deberá</w:t>
      </w:r>
      <w:r w:rsidR="00897122" w:rsidRPr="004918CC">
        <w:rPr>
          <w:rFonts w:ascii="Arial" w:hAnsi="Arial" w:cs="Arial"/>
          <w:lang w:val="es-MX"/>
        </w:rPr>
        <w:t xml:space="preserve"> remitir</w:t>
      </w:r>
      <w:r w:rsidR="005E5733" w:rsidRPr="004918CC">
        <w:rPr>
          <w:rFonts w:ascii="Arial" w:hAnsi="Arial" w:cs="Arial"/>
          <w:lang w:val="es-MX"/>
        </w:rPr>
        <w:t xml:space="preserve"> sus</w:t>
      </w:r>
      <w:r w:rsidR="001A4AC4" w:rsidRPr="004918CC">
        <w:rPr>
          <w:rFonts w:ascii="Arial" w:hAnsi="Arial" w:cs="Arial"/>
          <w:lang w:val="es-MX"/>
        </w:rPr>
        <w:t xml:space="preserve"> </w:t>
      </w:r>
      <w:r w:rsidR="00367533" w:rsidRPr="004918CC">
        <w:rPr>
          <w:rFonts w:ascii="Arial" w:hAnsi="Arial" w:cs="Arial"/>
          <w:lang w:val="es-MX"/>
        </w:rPr>
        <w:t>A</w:t>
      </w:r>
      <w:r w:rsidR="001A4AC4" w:rsidRPr="004918CC">
        <w:rPr>
          <w:rFonts w:ascii="Arial" w:hAnsi="Arial" w:cs="Arial"/>
          <w:lang w:val="es-MX"/>
        </w:rPr>
        <w:t>rchivos, de</w:t>
      </w:r>
      <w:r w:rsidR="00EB6DC6" w:rsidRPr="004918CC">
        <w:rPr>
          <w:rFonts w:ascii="Arial" w:hAnsi="Arial" w:cs="Arial"/>
          <w:lang w:val="es-MX"/>
        </w:rPr>
        <w:t xml:space="preserve">finidos en el presente </w:t>
      </w:r>
      <w:r w:rsidR="00B856B9" w:rsidRPr="004918CC">
        <w:rPr>
          <w:rFonts w:ascii="Arial" w:hAnsi="Arial" w:cs="Arial"/>
          <w:lang w:val="es-MX"/>
        </w:rPr>
        <w:t>I</w:t>
      </w:r>
      <w:r w:rsidR="001A4AC4" w:rsidRPr="004918CC">
        <w:rPr>
          <w:rFonts w:ascii="Arial" w:hAnsi="Arial" w:cs="Arial"/>
          <w:lang w:val="es-MX"/>
        </w:rPr>
        <w:t>nstructivo,</w:t>
      </w:r>
      <w:r w:rsidR="00A33834" w:rsidRPr="004918CC">
        <w:rPr>
          <w:rFonts w:ascii="Arial" w:hAnsi="Arial" w:cs="Arial"/>
          <w:lang w:val="es-MX"/>
        </w:rPr>
        <w:t xml:space="preserve"> </w:t>
      </w:r>
      <w:r w:rsidR="003140D1" w:rsidRPr="004918CC">
        <w:rPr>
          <w:rFonts w:ascii="Arial" w:hAnsi="Arial" w:cs="Arial"/>
          <w:lang w:val="es-MX"/>
        </w:rPr>
        <w:t>por</w:t>
      </w:r>
      <w:r w:rsidR="00897122" w:rsidRPr="004918CC">
        <w:rPr>
          <w:rFonts w:ascii="Arial" w:hAnsi="Arial" w:cs="Arial"/>
          <w:lang w:val="es-MX"/>
        </w:rPr>
        <w:t xml:space="preserve"> medio de</w:t>
      </w:r>
      <w:r w:rsidR="00C4416C" w:rsidRPr="004918CC">
        <w:rPr>
          <w:rFonts w:ascii="Arial" w:hAnsi="Arial" w:cs="Arial"/>
          <w:lang w:val="es-MX"/>
        </w:rPr>
        <w:t>l Proceso Automático STP</w:t>
      </w:r>
      <w:r w:rsidR="00897122" w:rsidRPr="004918CC">
        <w:rPr>
          <w:rFonts w:ascii="Arial" w:hAnsi="Arial" w:cs="Arial"/>
          <w:lang w:val="es-MX"/>
        </w:rPr>
        <w:t>.</w:t>
      </w:r>
      <w:bookmarkEnd w:id="42"/>
      <w:bookmarkEnd w:id="43"/>
      <w:r w:rsidR="00897122" w:rsidRPr="004918CC">
        <w:rPr>
          <w:rFonts w:ascii="Arial" w:hAnsi="Arial" w:cs="Arial"/>
          <w:lang w:val="es-MX"/>
        </w:rPr>
        <w:t xml:space="preserve"> </w:t>
      </w:r>
      <w:bookmarkStart w:id="44" w:name="_Toc5699651"/>
      <w:bookmarkStart w:id="45" w:name="_Toc5891029"/>
      <w:bookmarkStart w:id="46" w:name="_Toc5699650"/>
      <w:bookmarkStart w:id="47" w:name="_Toc5891028"/>
    </w:p>
    <w:p w14:paraId="146D93CF" w14:textId="3F1EC3A7" w:rsidR="00A02B51" w:rsidRPr="00A02B51" w:rsidRDefault="00A02B51" w:rsidP="00A02B51">
      <w:pPr>
        <w:pStyle w:val="Standardtext"/>
        <w:numPr>
          <w:ilvl w:val="1"/>
          <w:numId w:val="14"/>
        </w:numPr>
        <w:spacing w:before="240" w:after="240"/>
        <w:ind w:left="851" w:hanging="567"/>
        <w:jc w:val="both"/>
        <w:rPr>
          <w:rFonts w:ascii="Arial" w:hAnsi="Arial" w:cs="Arial"/>
          <w:lang w:val="es-MX"/>
        </w:rPr>
      </w:pPr>
      <w:r w:rsidRPr="00A02B51">
        <w:rPr>
          <w:rFonts w:ascii="Arial" w:hAnsi="Arial" w:cs="Arial"/>
          <w:lang w:val="es-MX"/>
        </w:rPr>
        <w:t>Los Participantes deberán habilitar y poner a disposición de todos sus clientes el servicio del Transfer365 y Transfer365 Móvil con las siguientes características:</w:t>
      </w:r>
    </w:p>
    <w:p w14:paraId="13F38101" w14:textId="4DC344A8" w:rsidR="00A02B51" w:rsidRPr="00A02B51" w:rsidRDefault="00A02B51" w:rsidP="00A02B51">
      <w:pPr>
        <w:pStyle w:val="Standardtext"/>
        <w:numPr>
          <w:ilvl w:val="2"/>
          <w:numId w:val="14"/>
        </w:numPr>
        <w:spacing w:before="240" w:after="240"/>
        <w:ind w:left="1560" w:hanging="709"/>
        <w:jc w:val="both"/>
        <w:rPr>
          <w:rFonts w:ascii="Arial" w:hAnsi="Arial" w:cs="Arial"/>
          <w:lang w:val="es-MX"/>
        </w:rPr>
      </w:pPr>
      <w:r w:rsidRPr="00A02B51">
        <w:rPr>
          <w:rFonts w:ascii="Arial" w:hAnsi="Arial" w:cs="Arial"/>
          <w:lang w:val="es-MX"/>
        </w:rPr>
        <w:t xml:space="preserve">Sin costos ni comisiones. </w:t>
      </w:r>
    </w:p>
    <w:p w14:paraId="09B142CB" w14:textId="572DCAC1" w:rsidR="00A02B51" w:rsidRPr="00A02B51" w:rsidRDefault="00A02B51" w:rsidP="00A02B51">
      <w:pPr>
        <w:pStyle w:val="Standardtext"/>
        <w:numPr>
          <w:ilvl w:val="2"/>
          <w:numId w:val="14"/>
        </w:numPr>
        <w:spacing w:before="240" w:after="240"/>
        <w:ind w:left="1560" w:hanging="709"/>
        <w:jc w:val="both"/>
        <w:rPr>
          <w:rFonts w:ascii="Arial" w:hAnsi="Arial" w:cs="Arial"/>
          <w:lang w:val="es-MX"/>
        </w:rPr>
      </w:pPr>
      <w:r w:rsidRPr="00A02B51">
        <w:rPr>
          <w:rFonts w:ascii="Arial" w:hAnsi="Arial" w:cs="Arial"/>
          <w:lang w:val="es-MX"/>
        </w:rPr>
        <w:t>A través de sus canales electrónicos para banca persona, empresarial, banca móvil y sucursales.</w:t>
      </w:r>
    </w:p>
    <w:p w14:paraId="19C75FCB" w14:textId="12C83345" w:rsidR="00A02B51" w:rsidRPr="00A02B51" w:rsidRDefault="00A02B51" w:rsidP="00A02B51">
      <w:pPr>
        <w:pStyle w:val="Standardtext"/>
        <w:numPr>
          <w:ilvl w:val="2"/>
          <w:numId w:val="14"/>
        </w:numPr>
        <w:spacing w:before="240" w:after="240"/>
        <w:ind w:left="1560" w:hanging="709"/>
        <w:jc w:val="both"/>
        <w:rPr>
          <w:rFonts w:ascii="Arial" w:hAnsi="Arial" w:cs="Arial"/>
          <w:lang w:val="es-MX"/>
        </w:rPr>
      </w:pPr>
      <w:r w:rsidRPr="00A02B51">
        <w:rPr>
          <w:rFonts w:ascii="Arial" w:hAnsi="Arial" w:cs="Arial"/>
          <w:lang w:val="es-MX"/>
        </w:rPr>
        <w:t>Las operaciones devueltas o rechazadas, así como la gestión de seguimiento o investigación para resolución de éstas, no constituirán un hecho generador de cobro de comisión o tarifa a los clientes.</w:t>
      </w:r>
    </w:p>
    <w:p w14:paraId="32399D08" w14:textId="256399C9" w:rsidR="00A02B51" w:rsidRPr="00A02B51" w:rsidRDefault="00A02B51" w:rsidP="00A02B51">
      <w:pPr>
        <w:pStyle w:val="Standardtext"/>
        <w:numPr>
          <w:ilvl w:val="2"/>
          <w:numId w:val="14"/>
        </w:numPr>
        <w:spacing w:before="240" w:after="240"/>
        <w:ind w:left="1560" w:hanging="709"/>
        <w:jc w:val="both"/>
        <w:rPr>
          <w:rFonts w:ascii="Arial" w:hAnsi="Arial" w:cs="Arial"/>
          <w:lang w:val="es-MX"/>
        </w:rPr>
      </w:pPr>
      <w:r w:rsidRPr="00A02B51">
        <w:rPr>
          <w:rFonts w:ascii="Arial" w:hAnsi="Arial" w:cs="Arial"/>
          <w:lang w:val="es-MX"/>
        </w:rPr>
        <w:t>Para la opción de Transfer365 Móvil, los Participantes deberán brindar las facilidades para la vinculación y desvinculación del número del celular con la cuenta bancaria, desde los canales electrónicos, sucursales y centro de atención telefónica.</w:t>
      </w:r>
    </w:p>
    <w:p w14:paraId="3ED56245" w14:textId="130071EE" w:rsidR="00A02B51" w:rsidRPr="005C51EC" w:rsidRDefault="005C51EC" w:rsidP="005C51EC">
      <w:pPr>
        <w:pStyle w:val="Standardtext"/>
        <w:numPr>
          <w:ilvl w:val="1"/>
          <w:numId w:val="14"/>
        </w:numPr>
        <w:spacing w:before="240" w:after="240"/>
        <w:ind w:left="851" w:hanging="567"/>
        <w:jc w:val="both"/>
        <w:rPr>
          <w:rFonts w:ascii="Arial" w:hAnsi="Arial" w:cs="Arial"/>
          <w:lang w:val="es-MX"/>
        </w:rPr>
      </w:pPr>
      <w:r w:rsidRPr="005C51EC">
        <w:rPr>
          <w:rFonts w:ascii="Arial" w:hAnsi="Arial" w:cs="Arial"/>
          <w:lang w:val="es-MX"/>
        </w:rPr>
        <w:t xml:space="preserve">Las instrucciones de pago resultantes del Transfer365 se liquidarán de forma automática en las cuentas de depósitos de los Participantes en el BCR, siempre que existan los fondos disponibles para su ejecución. De no existir los fondos suficientes se procederá de acuerdo con lo establecido en los numerales </w:t>
      </w:r>
      <w:r w:rsidRPr="003357B1">
        <w:rPr>
          <w:rFonts w:ascii="Arial" w:hAnsi="Arial" w:cs="Arial"/>
          <w:lang w:val="es-MX"/>
        </w:rPr>
        <w:t xml:space="preserve">5.5.2.2.2.2 </w:t>
      </w:r>
      <w:r w:rsidR="003357B1">
        <w:rPr>
          <w:rFonts w:ascii="Arial" w:hAnsi="Arial" w:cs="Arial"/>
          <w:lang w:val="es-MX"/>
        </w:rPr>
        <w:t>o</w:t>
      </w:r>
      <w:r w:rsidRPr="003357B1">
        <w:rPr>
          <w:rFonts w:ascii="Arial" w:hAnsi="Arial" w:cs="Arial"/>
          <w:lang w:val="es-MX"/>
        </w:rPr>
        <w:t xml:space="preserve"> 5.5.2.8.2, según el proceso de liquidación aplicable, y 6.3 del presente</w:t>
      </w:r>
      <w:r w:rsidRPr="005C51EC">
        <w:rPr>
          <w:rFonts w:ascii="Arial" w:hAnsi="Arial" w:cs="Arial"/>
          <w:lang w:val="es-MX"/>
        </w:rPr>
        <w:t xml:space="preserve"> Instructivo.</w:t>
      </w:r>
    </w:p>
    <w:p w14:paraId="6C365C5A" w14:textId="7BBD00AB" w:rsidR="005C51EC" w:rsidRPr="005C51EC" w:rsidRDefault="005C51EC" w:rsidP="005C51EC">
      <w:pPr>
        <w:pStyle w:val="Standardtext"/>
        <w:numPr>
          <w:ilvl w:val="1"/>
          <w:numId w:val="14"/>
        </w:numPr>
        <w:spacing w:before="240" w:after="240"/>
        <w:ind w:left="851" w:hanging="567"/>
        <w:jc w:val="both"/>
        <w:rPr>
          <w:rFonts w:ascii="Arial" w:hAnsi="Arial" w:cs="Arial"/>
          <w:lang w:val="es-MX"/>
        </w:rPr>
      </w:pPr>
      <w:r w:rsidRPr="005C51EC">
        <w:rPr>
          <w:rFonts w:ascii="Arial" w:hAnsi="Arial" w:cs="Arial"/>
          <w:lang w:val="es-MX"/>
        </w:rPr>
        <w:t>Será responsabilidad de los Participantes mantener el saldo suficiente en la cuenta de depósitos para constituir su reserva de fondos y/o liquidación, según corresponda, sobre las instrucciones de pago cursadas. El BCR no concederá créditos, sobregiros o garantías de ninguna clase.</w:t>
      </w:r>
    </w:p>
    <w:bookmarkEnd w:id="44"/>
    <w:bookmarkEnd w:id="45"/>
    <w:p w14:paraId="0F815966" w14:textId="0AB9D9C6" w:rsidR="00CE49F1" w:rsidRDefault="00761D09" w:rsidP="00D2510A">
      <w:pPr>
        <w:pStyle w:val="Standardtext"/>
        <w:numPr>
          <w:ilvl w:val="1"/>
          <w:numId w:val="14"/>
        </w:numPr>
        <w:spacing w:before="240" w:after="240"/>
        <w:ind w:left="851" w:hanging="567"/>
        <w:jc w:val="both"/>
        <w:rPr>
          <w:rFonts w:ascii="Arial" w:hAnsi="Arial" w:cs="Arial"/>
          <w:lang w:val="es-MX"/>
        </w:rPr>
      </w:pPr>
      <w:r w:rsidRPr="00761D09">
        <w:rPr>
          <w:rFonts w:ascii="Arial" w:hAnsi="Arial" w:cs="Arial"/>
          <w:lang w:val="es-MX"/>
        </w:rPr>
        <w:lastRenderedPageBreak/>
        <w:t xml:space="preserve">Los </w:t>
      </w:r>
      <w:r w:rsidR="00EB68BE">
        <w:rPr>
          <w:rFonts w:ascii="Arial" w:hAnsi="Arial" w:cs="Arial"/>
          <w:lang w:val="es-MX"/>
        </w:rPr>
        <w:t>Participante</w:t>
      </w:r>
      <w:r w:rsidRPr="00761D09">
        <w:rPr>
          <w:rFonts w:ascii="Arial" w:hAnsi="Arial" w:cs="Arial"/>
          <w:lang w:val="es-MX"/>
        </w:rPr>
        <w:t>s deberán utilizar el estándar de mensajería ISO 20022 y los formatos definidos por el BCR para la transmisión electrónica de los Archivos.</w:t>
      </w:r>
    </w:p>
    <w:p w14:paraId="16E4432B" w14:textId="3C7EAB4C" w:rsidR="005C51EC" w:rsidRPr="00BE5FA7" w:rsidRDefault="005C51EC" w:rsidP="005C51EC">
      <w:pPr>
        <w:pStyle w:val="Standardtext"/>
        <w:numPr>
          <w:ilvl w:val="1"/>
          <w:numId w:val="14"/>
        </w:numPr>
        <w:spacing w:before="240" w:after="240"/>
        <w:ind w:left="851" w:hanging="567"/>
        <w:jc w:val="both"/>
        <w:rPr>
          <w:rFonts w:ascii="Arial" w:hAnsi="Arial" w:cs="Arial"/>
          <w:lang w:val="es-MX"/>
        </w:rPr>
      </w:pPr>
      <w:r w:rsidRPr="005C51EC">
        <w:rPr>
          <w:rFonts w:ascii="Arial" w:hAnsi="Arial" w:cs="Arial"/>
          <w:lang w:val="es-MX"/>
        </w:rPr>
        <w:t>El Participante deberá contar con dos enlaces de comunicación dedicados, suministrados de preferencia por dos proveedores distintos y direccionados hacia las infraestructuras del BCR, ubicadas en el Centro de Gobierno, Edificio Alameda Juan Pablo II y en el Edificio Centro, ubicado sobre la Primera Calle Poniente, entre la 5ª. y 7ª. Avenida Norte, respectivamente o las instalaciones del BCR ubicadas en Km. 10 ½ Carretera al Puerto de La Libertad, con el propósito de garantizar la disponibilidad del servicio ante caída de uno de los enlaces.</w:t>
      </w:r>
    </w:p>
    <w:bookmarkEnd w:id="46"/>
    <w:bookmarkEnd w:id="47"/>
    <w:p w14:paraId="30AF40C8" w14:textId="15714185" w:rsidR="00897122" w:rsidRPr="00BE5FA7" w:rsidRDefault="00FA2FA2" w:rsidP="00D2510A">
      <w:pPr>
        <w:pStyle w:val="Standardtext"/>
        <w:numPr>
          <w:ilvl w:val="1"/>
          <w:numId w:val="14"/>
        </w:numPr>
        <w:spacing w:before="240" w:after="240"/>
        <w:ind w:left="851" w:hanging="567"/>
        <w:jc w:val="both"/>
        <w:rPr>
          <w:rFonts w:ascii="Arial" w:hAnsi="Arial" w:cs="Arial"/>
          <w:lang w:val="es-MX"/>
        </w:rPr>
      </w:pPr>
      <w:r w:rsidRPr="00FA2FA2">
        <w:rPr>
          <w:rFonts w:ascii="Arial" w:hAnsi="Arial" w:cs="Arial"/>
          <w:lang w:val="es-MX"/>
        </w:rPr>
        <w:t>Para las solicitudes de verificación de cuentas y Archivo de Transferencias de Crédito remitidos a través del Transfer365, se utilizará el formato de cuentas estandarizadas</w:t>
      </w:r>
      <w:r w:rsidR="00CE6E50">
        <w:rPr>
          <w:rFonts w:ascii="Arial" w:hAnsi="Arial" w:cs="Arial"/>
          <w:lang w:val="es-MX"/>
        </w:rPr>
        <w:t>,</w:t>
      </w:r>
      <w:r w:rsidRPr="00FA2FA2">
        <w:rPr>
          <w:rFonts w:ascii="Arial" w:hAnsi="Arial" w:cs="Arial"/>
          <w:lang w:val="es-MX"/>
        </w:rPr>
        <w:t xml:space="preserve"> el cual es incorporado en la documentación técnica que es proporcionada a los </w:t>
      </w:r>
      <w:r w:rsidR="00EB68BE">
        <w:rPr>
          <w:rFonts w:ascii="Arial" w:hAnsi="Arial" w:cs="Arial"/>
          <w:lang w:val="es-MX"/>
        </w:rPr>
        <w:t>Participante</w:t>
      </w:r>
      <w:r w:rsidRPr="00FA2FA2">
        <w:rPr>
          <w:rFonts w:ascii="Arial" w:hAnsi="Arial" w:cs="Arial"/>
          <w:lang w:val="es-MX"/>
        </w:rPr>
        <w:t>s.</w:t>
      </w:r>
    </w:p>
    <w:p w14:paraId="2276E22D" w14:textId="77777777" w:rsidR="00CB062B" w:rsidRPr="00CB062B" w:rsidRDefault="00CB062B" w:rsidP="00CB062B">
      <w:pPr>
        <w:pStyle w:val="Standardtext"/>
        <w:numPr>
          <w:ilvl w:val="1"/>
          <w:numId w:val="14"/>
        </w:numPr>
        <w:spacing w:before="240" w:after="240"/>
        <w:ind w:left="851" w:hanging="567"/>
        <w:jc w:val="both"/>
        <w:rPr>
          <w:rFonts w:ascii="Arial" w:hAnsi="Arial" w:cs="Arial"/>
          <w:lang w:val="es-MX"/>
        </w:rPr>
      </w:pPr>
      <w:r w:rsidRPr="00CB062B">
        <w:rPr>
          <w:rFonts w:ascii="Arial" w:hAnsi="Arial" w:cs="Arial"/>
          <w:lang w:val="es-MX"/>
        </w:rPr>
        <w:t xml:space="preserve">El BCR por medio de la Unidad de Vigilancia de Sistemas de Pagos realizará    la función de vigilancia de los sistemas de pagos, mediante la cual se promueven los objetivos de seguridad y eficiencia a través del seguimiento y monitoreo del Transfer365, evaluando su funcionamiento y verificando el cumplimiento de las normas, principios y estándares establecidos en el presente Instructivo. </w:t>
      </w:r>
    </w:p>
    <w:p w14:paraId="4A5BAB41" w14:textId="3FEBC262" w:rsidR="00CE0D14" w:rsidRDefault="00CB062B" w:rsidP="00D467D8">
      <w:pPr>
        <w:pStyle w:val="Standardtext"/>
        <w:spacing w:before="240" w:after="240"/>
        <w:ind w:left="851"/>
        <w:jc w:val="both"/>
        <w:rPr>
          <w:rFonts w:ascii="Arial" w:hAnsi="Arial" w:cs="Arial"/>
          <w:lang w:val="es-MX"/>
        </w:rPr>
      </w:pPr>
      <w:r w:rsidRPr="00CB062B">
        <w:rPr>
          <w:rFonts w:ascii="Arial" w:hAnsi="Arial" w:cs="Arial"/>
          <w:lang w:val="es-MX"/>
        </w:rPr>
        <w:t xml:space="preserve">Para el cumplimiento de estas funciones, los </w:t>
      </w:r>
      <w:r w:rsidR="00EB68BE">
        <w:rPr>
          <w:rFonts w:ascii="Arial" w:hAnsi="Arial" w:cs="Arial"/>
          <w:lang w:val="es-MX"/>
        </w:rPr>
        <w:t>Participante</w:t>
      </w:r>
      <w:r w:rsidRPr="00CB062B">
        <w:rPr>
          <w:rFonts w:ascii="Arial" w:hAnsi="Arial" w:cs="Arial"/>
          <w:lang w:val="es-MX"/>
        </w:rPr>
        <w:t>s del Transfer365, deben permitir al Banco Central, la realización de visitas in situ en sus instalaciones, incluyendo el acceso a otras fuentes de información que se estimen necesarias.</w:t>
      </w:r>
    </w:p>
    <w:p w14:paraId="081B4B2D" w14:textId="0886D652" w:rsidR="00F20863" w:rsidRDefault="00743760" w:rsidP="008B6FA4">
      <w:pPr>
        <w:pStyle w:val="Standardtext"/>
        <w:numPr>
          <w:ilvl w:val="1"/>
          <w:numId w:val="14"/>
        </w:numPr>
        <w:spacing w:before="240" w:after="240"/>
        <w:ind w:left="851" w:hanging="567"/>
        <w:jc w:val="both"/>
        <w:rPr>
          <w:rFonts w:ascii="Arial" w:hAnsi="Arial" w:cs="Arial"/>
          <w:lang w:val="es-MX"/>
        </w:rPr>
      </w:pPr>
      <w:r w:rsidRPr="00743760">
        <w:rPr>
          <w:rFonts w:ascii="Arial" w:hAnsi="Arial" w:cs="Arial"/>
          <w:lang w:val="es-MX"/>
        </w:rPr>
        <w:t>El BCR como sujeto obligado establecerá medidas de prevención del riesgo de Lavado de Dinero y de Activos, Financiación del Terrorismo y Financiación de la Proliferación de Armas de Destrucción Masiva</w:t>
      </w:r>
      <w:r w:rsidR="008D60E2">
        <w:rPr>
          <w:rFonts w:ascii="Arial" w:hAnsi="Arial" w:cs="Arial"/>
          <w:lang w:val="es-MX"/>
        </w:rPr>
        <w:t>,</w:t>
      </w:r>
      <w:r w:rsidRPr="00743760">
        <w:rPr>
          <w:rFonts w:ascii="Arial" w:hAnsi="Arial" w:cs="Arial"/>
          <w:lang w:val="es-MX"/>
        </w:rPr>
        <w:t xml:space="preserve"> a efectos de cumplir con las responsabilidades establecidas en la Ley contra el Lavado de Dinero y Activos y su Reglamento, así como el Instructivo para la Prevención, Detección y Control del Lavado de Dinero y de Activos, Financiación del Terrorismo y la Financiación de la Proliferación de Armas de Destrucción Masiva y otras leyes relacionadas con la materia.</w:t>
      </w:r>
    </w:p>
    <w:p w14:paraId="6338424D" w14:textId="1EC762B3" w:rsidR="005C51EC" w:rsidRPr="005C51EC" w:rsidRDefault="005C51EC" w:rsidP="005C51EC">
      <w:pPr>
        <w:pStyle w:val="Standardtext"/>
        <w:numPr>
          <w:ilvl w:val="1"/>
          <w:numId w:val="14"/>
        </w:numPr>
        <w:spacing w:before="240" w:after="240"/>
        <w:ind w:left="851" w:hanging="567"/>
        <w:jc w:val="both"/>
        <w:rPr>
          <w:rFonts w:ascii="Arial" w:hAnsi="Arial" w:cs="Arial"/>
          <w:lang w:val="es-MX"/>
        </w:rPr>
      </w:pPr>
      <w:r w:rsidRPr="005C51EC">
        <w:rPr>
          <w:rFonts w:ascii="Arial" w:hAnsi="Arial" w:cs="Arial"/>
          <w:lang w:val="es-MX"/>
        </w:rPr>
        <w:t>Los Participantes son responsables de aplicar los controles para la prevención del Lavado de Dinero y de Activos, Financiación del Terrorismo y Financiación de la Proliferación de Armas de Destrucción Masiva y cualquier otra obligación contenida en las leyes y normas</w:t>
      </w:r>
      <w:r w:rsidR="00BF51CB">
        <w:rPr>
          <w:rFonts w:ascii="Arial" w:hAnsi="Arial" w:cs="Arial"/>
          <w:lang w:val="es-MX"/>
        </w:rPr>
        <w:t>,</w:t>
      </w:r>
      <w:r w:rsidRPr="005C51EC">
        <w:rPr>
          <w:rFonts w:ascii="Arial" w:hAnsi="Arial" w:cs="Arial"/>
          <w:lang w:val="es-MX"/>
        </w:rPr>
        <w:t xml:space="preserve"> relacionadas a la prevención o sanción de delitos financieros. </w:t>
      </w:r>
    </w:p>
    <w:p w14:paraId="4362BAE9" w14:textId="77777777" w:rsidR="005C51EC" w:rsidRPr="005C51EC" w:rsidRDefault="005C51EC" w:rsidP="005C51EC">
      <w:pPr>
        <w:pStyle w:val="Standardtext"/>
        <w:spacing w:before="240" w:after="240"/>
        <w:ind w:left="851"/>
        <w:jc w:val="both"/>
        <w:rPr>
          <w:rFonts w:ascii="Arial" w:hAnsi="Arial" w:cs="Arial"/>
          <w:lang w:val="es-MX"/>
        </w:rPr>
      </w:pPr>
      <w:r w:rsidRPr="005C51EC">
        <w:rPr>
          <w:rFonts w:ascii="Arial" w:hAnsi="Arial" w:cs="Arial"/>
          <w:lang w:val="es-MX"/>
        </w:rPr>
        <w:lastRenderedPageBreak/>
        <w:t xml:space="preserve">Los controles deberán ser automatizados y no considerar acciones discrecionales que provoquen desfase en los tiempos de procesamiento de las operaciones del Transfer365 definidos en el presente Instructivo. </w:t>
      </w:r>
    </w:p>
    <w:p w14:paraId="25E9F84F" w14:textId="21C90337" w:rsidR="00AB6EF0" w:rsidRPr="00BE5FA7" w:rsidRDefault="00897122" w:rsidP="00D2510A">
      <w:pPr>
        <w:pStyle w:val="Ttulo1"/>
        <w:numPr>
          <w:ilvl w:val="0"/>
          <w:numId w:val="18"/>
        </w:numPr>
        <w:ind w:left="284" w:hanging="284"/>
      </w:pPr>
      <w:bookmarkStart w:id="48" w:name="_Toc5699655"/>
      <w:bookmarkStart w:id="49" w:name="_Toc5891033"/>
      <w:bookmarkStart w:id="50" w:name="_Toc5892161"/>
      <w:bookmarkStart w:id="51" w:name="_Toc5897971"/>
      <w:bookmarkStart w:id="52" w:name="_Toc126599753"/>
      <w:r w:rsidRPr="00BE5FA7">
        <w:t>NORMAS ESPECÍFICAS</w:t>
      </w:r>
      <w:bookmarkStart w:id="53" w:name="_Toc5699656"/>
      <w:bookmarkStart w:id="54" w:name="_Toc5891034"/>
      <w:bookmarkEnd w:id="48"/>
      <w:bookmarkEnd w:id="49"/>
      <w:bookmarkEnd w:id="50"/>
      <w:bookmarkEnd w:id="51"/>
      <w:bookmarkEnd w:id="52"/>
    </w:p>
    <w:p w14:paraId="33EF2E07" w14:textId="38336D56" w:rsidR="00897122" w:rsidRPr="00BE5FA7" w:rsidRDefault="00FC0D14" w:rsidP="00D2510A">
      <w:pPr>
        <w:pStyle w:val="Standardtext"/>
        <w:numPr>
          <w:ilvl w:val="1"/>
          <w:numId w:val="15"/>
        </w:numPr>
        <w:spacing w:before="240" w:after="240"/>
        <w:ind w:left="851" w:hanging="567"/>
        <w:jc w:val="both"/>
        <w:rPr>
          <w:rFonts w:ascii="Arial" w:hAnsi="Arial" w:cs="Arial"/>
          <w:b/>
          <w:lang w:val="es-MX"/>
        </w:rPr>
      </w:pPr>
      <w:r w:rsidRPr="00FC0D14">
        <w:rPr>
          <w:rFonts w:ascii="Arial" w:hAnsi="Arial" w:cs="Arial"/>
          <w:b/>
          <w:lang w:val="es-MX"/>
        </w:rPr>
        <w:t>El BCR como administrador del Transfer365 tendrá las siguientes obligaciones:</w:t>
      </w:r>
      <w:bookmarkEnd w:id="53"/>
      <w:bookmarkEnd w:id="54"/>
      <w:r w:rsidR="00897122" w:rsidRPr="00BE5FA7">
        <w:rPr>
          <w:rFonts w:ascii="Arial" w:hAnsi="Arial" w:cs="Arial"/>
          <w:b/>
          <w:lang w:val="es-MX"/>
        </w:rPr>
        <w:t xml:space="preserve"> </w:t>
      </w:r>
    </w:p>
    <w:p w14:paraId="79C58F44" w14:textId="196E4231" w:rsidR="00897122" w:rsidRPr="00BE5FA7" w:rsidRDefault="00343A82" w:rsidP="00D2510A">
      <w:pPr>
        <w:pStyle w:val="Standardtext"/>
        <w:numPr>
          <w:ilvl w:val="2"/>
          <w:numId w:val="15"/>
        </w:numPr>
        <w:spacing w:before="240" w:after="240"/>
        <w:ind w:left="1560" w:hanging="709"/>
        <w:jc w:val="both"/>
        <w:rPr>
          <w:rFonts w:ascii="Arial" w:hAnsi="Arial" w:cs="Arial"/>
          <w:lang w:val="es-MX"/>
        </w:rPr>
      </w:pPr>
      <w:r w:rsidRPr="00343A82">
        <w:rPr>
          <w:rFonts w:ascii="Arial" w:hAnsi="Arial" w:cs="Arial"/>
          <w:lang w:val="es-MX"/>
        </w:rPr>
        <w:t xml:space="preserve">Suscribir con los </w:t>
      </w:r>
      <w:r w:rsidR="00EB68BE">
        <w:rPr>
          <w:rFonts w:ascii="Arial" w:hAnsi="Arial" w:cs="Arial"/>
          <w:lang w:val="es-MX"/>
        </w:rPr>
        <w:t>Participante</w:t>
      </w:r>
      <w:r w:rsidRPr="00343A82">
        <w:rPr>
          <w:rFonts w:ascii="Arial" w:hAnsi="Arial" w:cs="Arial"/>
          <w:lang w:val="es-MX"/>
        </w:rPr>
        <w:t>s el contrato del Transfer365, así como cualquier modificación posterior al mismo.</w:t>
      </w:r>
    </w:p>
    <w:p w14:paraId="24519B9C" w14:textId="2D3E1EC8" w:rsidR="000B357F" w:rsidRDefault="00945C1E" w:rsidP="00D2510A">
      <w:pPr>
        <w:pStyle w:val="Standardtext"/>
        <w:numPr>
          <w:ilvl w:val="2"/>
          <w:numId w:val="15"/>
        </w:numPr>
        <w:spacing w:before="240" w:after="240"/>
        <w:ind w:left="1560" w:hanging="709"/>
        <w:jc w:val="both"/>
        <w:rPr>
          <w:rFonts w:ascii="Arial" w:hAnsi="Arial" w:cs="Arial"/>
          <w:lang w:val="es-MX"/>
        </w:rPr>
      </w:pPr>
      <w:bookmarkStart w:id="55" w:name="_Toc5699659"/>
      <w:bookmarkStart w:id="56" w:name="_Toc5891037"/>
      <w:r w:rsidRPr="00945C1E">
        <w:rPr>
          <w:rFonts w:ascii="Arial" w:hAnsi="Arial" w:cs="Arial"/>
          <w:lang w:val="es-MX"/>
        </w:rPr>
        <w:t xml:space="preserve">Mantener el normal funcionamiento y operación del Transfer365; de modo que los </w:t>
      </w:r>
      <w:r w:rsidR="00EB68BE">
        <w:rPr>
          <w:rFonts w:ascii="Arial" w:hAnsi="Arial" w:cs="Arial"/>
          <w:lang w:val="es-MX"/>
        </w:rPr>
        <w:t>Participante</w:t>
      </w:r>
      <w:r w:rsidRPr="00945C1E">
        <w:rPr>
          <w:rFonts w:ascii="Arial" w:hAnsi="Arial" w:cs="Arial"/>
          <w:lang w:val="es-MX"/>
        </w:rPr>
        <w:t>s puedan procesar sus archivos de forma oportuna y proponer mejoras que permitan lograr tal propósito</w:t>
      </w:r>
      <w:r w:rsidR="00BF51CB">
        <w:rPr>
          <w:rFonts w:ascii="Arial" w:hAnsi="Arial" w:cs="Arial"/>
          <w:lang w:val="es-MX"/>
        </w:rPr>
        <w:t>; a</w:t>
      </w:r>
      <w:r w:rsidRPr="00945C1E">
        <w:rPr>
          <w:rFonts w:ascii="Arial" w:hAnsi="Arial" w:cs="Arial"/>
          <w:lang w:val="es-MX"/>
        </w:rPr>
        <w:t xml:space="preserve">sí como, adoptar las medidas encaminadas a corregir las deficiencias o fallas en el correcto funcionamiento </w:t>
      </w:r>
      <w:r w:rsidR="00694878" w:rsidRPr="00945C1E">
        <w:rPr>
          <w:rFonts w:ascii="Arial" w:hAnsi="Arial" w:cs="Arial"/>
          <w:lang w:val="es-MX"/>
        </w:rPr>
        <w:t xml:space="preserve">del </w:t>
      </w:r>
      <w:r w:rsidR="00694878">
        <w:rPr>
          <w:rFonts w:ascii="Arial" w:hAnsi="Arial" w:cs="Arial"/>
          <w:lang w:val="es-MX"/>
        </w:rPr>
        <w:t>Sistema</w:t>
      </w:r>
      <w:r w:rsidRPr="00945C1E">
        <w:rPr>
          <w:rFonts w:ascii="Arial" w:hAnsi="Arial" w:cs="Arial"/>
          <w:lang w:val="es-MX"/>
        </w:rPr>
        <w:t>.</w:t>
      </w:r>
    </w:p>
    <w:p w14:paraId="0B6C4D08" w14:textId="55B48A01" w:rsidR="00CE49F1" w:rsidRPr="00BE5FA7" w:rsidRDefault="00567385" w:rsidP="00D2510A">
      <w:pPr>
        <w:pStyle w:val="Standardtext"/>
        <w:numPr>
          <w:ilvl w:val="2"/>
          <w:numId w:val="15"/>
        </w:numPr>
        <w:spacing w:before="240" w:after="240"/>
        <w:ind w:left="1560" w:hanging="709"/>
        <w:jc w:val="both"/>
        <w:rPr>
          <w:rFonts w:ascii="Arial" w:hAnsi="Arial" w:cs="Arial"/>
          <w:lang w:val="es-MX"/>
        </w:rPr>
      </w:pPr>
      <w:r w:rsidRPr="00567385">
        <w:rPr>
          <w:rFonts w:ascii="Arial" w:hAnsi="Arial" w:cs="Arial"/>
          <w:lang w:val="es-MX"/>
        </w:rPr>
        <w:t xml:space="preserve">Cumplir y velar por el cumplimiento por parte de los </w:t>
      </w:r>
      <w:r w:rsidR="00EB68BE">
        <w:rPr>
          <w:rFonts w:ascii="Arial" w:hAnsi="Arial" w:cs="Arial"/>
          <w:lang w:val="es-MX"/>
        </w:rPr>
        <w:t>Participante</w:t>
      </w:r>
      <w:r w:rsidRPr="00567385">
        <w:rPr>
          <w:rFonts w:ascii="Arial" w:hAnsi="Arial" w:cs="Arial"/>
          <w:lang w:val="es-MX"/>
        </w:rPr>
        <w:t>s, de los instrumentos administrativos y disposiciones aplicables al Transfer365, así como mantenerlos debidamente actualizados.</w:t>
      </w:r>
    </w:p>
    <w:p w14:paraId="54D3E5E6" w14:textId="6A16580A" w:rsidR="00CE49F1" w:rsidRPr="00BE5FA7" w:rsidRDefault="00195755" w:rsidP="00D2510A">
      <w:pPr>
        <w:pStyle w:val="Standardtext"/>
        <w:numPr>
          <w:ilvl w:val="2"/>
          <w:numId w:val="15"/>
        </w:numPr>
        <w:spacing w:before="240" w:after="240"/>
        <w:ind w:left="1560" w:hanging="709"/>
        <w:jc w:val="both"/>
        <w:rPr>
          <w:rFonts w:ascii="Arial" w:hAnsi="Arial" w:cs="Arial"/>
          <w:lang w:val="es-MX"/>
        </w:rPr>
      </w:pPr>
      <w:r w:rsidRPr="00195755">
        <w:rPr>
          <w:rFonts w:ascii="Arial" w:hAnsi="Arial" w:cs="Arial"/>
          <w:lang w:val="es-MX"/>
        </w:rPr>
        <w:t xml:space="preserve">Asegurar la integridad y confidencialidad de la información de los </w:t>
      </w:r>
      <w:r w:rsidR="00EB68BE">
        <w:rPr>
          <w:rFonts w:ascii="Arial" w:hAnsi="Arial" w:cs="Arial"/>
          <w:lang w:val="es-MX"/>
        </w:rPr>
        <w:t>Participante</w:t>
      </w:r>
      <w:r w:rsidRPr="00195755">
        <w:rPr>
          <w:rFonts w:ascii="Arial" w:hAnsi="Arial" w:cs="Arial"/>
          <w:lang w:val="es-MX"/>
        </w:rPr>
        <w:t>s en el Transfer365, así como la recibida en los componentes administrados por el B</w:t>
      </w:r>
      <w:r w:rsidR="00CC3898">
        <w:rPr>
          <w:rFonts w:ascii="Arial" w:hAnsi="Arial" w:cs="Arial"/>
          <w:lang w:val="es-MX"/>
        </w:rPr>
        <w:t>CR</w:t>
      </w:r>
      <w:r w:rsidRPr="00195755">
        <w:rPr>
          <w:rFonts w:ascii="Arial" w:hAnsi="Arial" w:cs="Arial"/>
          <w:lang w:val="es-MX"/>
        </w:rPr>
        <w:t>.</w:t>
      </w:r>
    </w:p>
    <w:bookmarkEnd w:id="55"/>
    <w:bookmarkEnd w:id="56"/>
    <w:p w14:paraId="60279905" w14:textId="2C778F60" w:rsidR="00897122" w:rsidRPr="00BE5FA7" w:rsidRDefault="00E61543" w:rsidP="00D2510A">
      <w:pPr>
        <w:pStyle w:val="Standardtext"/>
        <w:numPr>
          <w:ilvl w:val="2"/>
          <w:numId w:val="15"/>
        </w:numPr>
        <w:spacing w:before="240" w:after="240"/>
        <w:ind w:left="1560" w:hanging="709"/>
        <w:jc w:val="both"/>
        <w:rPr>
          <w:rFonts w:ascii="Arial" w:hAnsi="Arial" w:cs="Arial"/>
          <w:lang w:val="es-MX"/>
        </w:rPr>
      </w:pPr>
      <w:r w:rsidRPr="00E61543">
        <w:rPr>
          <w:rFonts w:ascii="Arial" w:hAnsi="Arial" w:cs="Arial"/>
          <w:lang w:val="es-MX"/>
        </w:rPr>
        <w:t>Monitorear el Sistema con la finalidad de asegurar su correcto funcionamiento y del procesamiento oportuno de los archivos.</w:t>
      </w:r>
    </w:p>
    <w:p w14:paraId="6A26474E" w14:textId="797CC9C2" w:rsidR="005C6F13" w:rsidRDefault="0052364C" w:rsidP="00D2510A">
      <w:pPr>
        <w:pStyle w:val="Standardtext"/>
        <w:numPr>
          <w:ilvl w:val="2"/>
          <w:numId w:val="15"/>
        </w:numPr>
        <w:spacing w:before="240" w:after="240"/>
        <w:ind w:left="1560" w:hanging="709"/>
        <w:jc w:val="both"/>
        <w:rPr>
          <w:rFonts w:ascii="Arial" w:hAnsi="Arial" w:cs="Arial"/>
          <w:lang w:val="es-MX"/>
        </w:rPr>
      </w:pPr>
      <w:r w:rsidRPr="0052364C">
        <w:rPr>
          <w:rFonts w:ascii="Arial" w:hAnsi="Arial" w:cs="Arial"/>
          <w:lang w:val="es-MX"/>
        </w:rPr>
        <w:t xml:space="preserve">Definir los documentos técnicos (Formato de mensajería, Gateway, entre otros) del Transfer365, </w:t>
      </w:r>
      <w:r w:rsidR="00745B28">
        <w:rPr>
          <w:rFonts w:ascii="Arial" w:hAnsi="Arial" w:cs="Arial"/>
          <w:lang w:val="es-MX"/>
        </w:rPr>
        <w:t xml:space="preserve">que </w:t>
      </w:r>
      <w:r w:rsidRPr="0052364C">
        <w:rPr>
          <w:rFonts w:ascii="Arial" w:hAnsi="Arial" w:cs="Arial"/>
          <w:lang w:val="es-MX"/>
        </w:rPr>
        <w:t xml:space="preserve">contienen las especificaciones técnicas para interconectarse con el Transfer365, así como los formatos a utilizar para el procesamiento de los archivos, los cuales serán remitidos a los </w:t>
      </w:r>
      <w:r w:rsidR="00EB68BE">
        <w:rPr>
          <w:rFonts w:ascii="Arial" w:hAnsi="Arial" w:cs="Arial"/>
          <w:lang w:val="es-MX"/>
        </w:rPr>
        <w:t>Participante</w:t>
      </w:r>
      <w:r w:rsidRPr="0052364C">
        <w:rPr>
          <w:rFonts w:ascii="Arial" w:hAnsi="Arial" w:cs="Arial"/>
          <w:lang w:val="es-MX"/>
        </w:rPr>
        <w:t xml:space="preserve">s para su cumplimiento. En el caso de nuevos </w:t>
      </w:r>
      <w:r w:rsidR="00EB68BE">
        <w:rPr>
          <w:rFonts w:ascii="Arial" w:hAnsi="Arial" w:cs="Arial"/>
          <w:lang w:val="es-MX"/>
        </w:rPr>
        <w:t>Participante</w:t>
      </w:r>
      <w:r w:rsidRPr="0052364C">
        <w:rPr>
          <w:rFonts w:ascii="Arial" w:hAnsi="Arial" w:cs="Arial"/>
          <w:lang w:val="es-MX"/>
        </w:rPr>
        <w:t xml:space="preserve">s, los documentos referidos serán remitidos una vez se notifique su autorización como </w:t>
      </w:r>
      <w:r w:rsidR="00EB68BE">
        <w:rPr>
          <w:rFonts w:ascii="Arial" w:hAnsi="Arial" w:cs="Arial"/>
          <w:lang w:val="es-MX"/>
        </w:rPr>
        <w:t>Participante</w:t>
      </w:r>
      <w:r w:rsidRPr="0052364C">
        <w:rPr>
          <w:rFonts w:ascii="Arial" w:hAnsi="Arial" w:cs="Arial"/>
          <w:lang w:val="es-MX"/>
        </w:rPr>
        <w:t xml:space="preserve"> del Transfer365 y en el caso de modificaciones a los documentos serán remitidos en un máximo de diez días hábiles posterior a su modificación.</w:t>
      </w:r>
    </w:p>
    <w:p w14:paraId="60070067" w14:textId="77777777" w:rsidR="00292254" w:rsidRDefault="00292254" w:rsidP="00292254">
      <w:pPr>
        <w:pStyle w:val="Standardtext"/>
        <w:spacing w:before="240" w:after="240"/>
        <w:ind w:left="1560"/>
        <w:jc w:val="both"/>
        <w:rPr>
          <w:rFonts w:ascii="Arial" w:hAnsi="Arial" w:cs="Arial"/>
          <w:lang w:val="es-MX"/>
        </w:rPr>
      </w:pPr>
    </w:p>
    <w:p w14:paraId="76A6139C" w14:textId="5D7D6843" w:rsidR="00256D7E" w:rsidRPr="00BE5FA7" w:rsidRDefault="004C6F14" w:rsidP="00D2510A">
      <w:pPr>
        <w:pStyle w:val="Standardtext"/>
        <w:numPr>
          <w:ilvl w:val="2"/>
          <w:numId w:val="15"/>
        </w:numPr>
        <w:spacing w:before="240" w:after="240"/>
        <w:ind w:left="1560" w:hanging="709"/>
        <w:jc w:val="both"/>
        <w:rPr>
          <w:rFonts w:ascii="Arial" w:hAnsi="Arial" w:cs="Arial"/>
          <w:lang w:val="es-MX"/>
        </w:rPr>
      </w:pPr>
      <w:bookmarkStart w:id="57" w:name="_Hlk19800747"/>
      <w:bookmarkStart w:id="58" w:name="_Toc5699662"/>
      <w:bookmarkStart w:id="59" w:name="_Toc5891040"/>
      <w:r w:rsidRPr="004C6F14">
        <w:rPr>
          <w:rFonts w:ascii="Arial" w:hAnsi="Arial" w:cs="Arial"/>
          <w:lang w:val="es-MX"/>
        </w:rPr>
        <w:lastRenderedPageBreak/>
        <w:t xml:space="preserve">Administrar la emisión, renovación, suspensión y restablecimiento de Token de PKI o cualquier otro mecanismo de seguridad que </w:t>
      </w:r>
      <w:r w:rsidR="003F1BC4">
        <w:rPr>
          <w:rFonts w:ascii="Arial" w:hAnsi="Arial" w:cs="Arial"/>
          <w:lang w:val="es-MX"/>
        </w:rPr>
        <w:t xml:space="preserve">se </w:t>
      </w:r>
      <w:r w:rsidRPr="004C6F14">
        <w:rPr>
          <w:rFonts w:ascii="Arial" w:hAnsi="Arial" w:cs="Arial"/>
          <w:lang w:val="es-MX"/>
        </w:rPr>
        <w:t xml:space="preserve">defina, los cuáles serán enviados por correspondencia al Gerente de Operaciones o su similar en el </w:t>
      </w:r>
      <w:r w:rsidR="00EB68BE">
        <w:rPr>
          <w:rFonts w:ascii="Arial" w:hAnsi="Arial" w:cs="Arial"/>
          <w:lang w:val="es-MX"/>
        </w:rPr>
        <w:t>Participante</w:t>
      </w:r>
      <w:r w:rsidRPr="004C6F14">
        <w:rPr>
          <w:rFonts w:ascii="Arial" w:hAnsi="Arial" w:cs="Arial"/>
          <w:lang w:val="es-MX"/>
        </w:rPr>
        <w:t>, al inicio de operaciones de los usuarios; y definir los Lineamientos de Seguridad de la Información, según lo establecido en el Anexo No.1.</w:t>
      </w:r>
    </w:p>
    <w:bookmarkEnd w:id="57"/>
    <w:bookmarkEnd w:id="58"/>
    <w:bookmarkEnd w:id="59"/>
    <w:p w14:paraId="0F28125D" w14:textId="43550CE4" w:rsidR="005B1CE9" w:rsidRPr="00BE5FA7" w:rsidRDefault="005B1CE9" w:rsidP="005B1CE9">
      <w:pPr>
        <w:pStyle w:val="Standardtext"/>
        <w:numPr>
          <w:ilvl w:val="2"/>
          <w:numId w:val="15"/>
        </w:numPr>
        <w:spacing w:before="240" w:after="240"/>
        <w:ind w:left="1560" w:hanging="709"/>
        <w:jc w:val="both"/>
        <w:rPr>
          <w:rFonts w:ascii="Arial" w:hAnsi="Arial" w:cs="Arial"/>
          <w:lang w:val="es-MX"/>
        </w:rPr>
      </w:pPr>
      <w:r w:rsidRPr="005B1CE9">
        <w:rPr>
          <w:rFonts w:ascii="Arial" w:hAnsi="Arial" w:cs="Arial"/>
          <w:lang w:val="es-MX"/>
        </w:rPr>
        <w:t>Informar a los Participantes por medio de la Jefatura del DPV, con al menos quince días hábiles de anticipación, sobre el ingreso o retiro de otro Participante; una vez se tenga definida la fecha para el mismo, salvo que, por comunicación de autoridad competente, esta deba hacerse del conocimiento de forma inmediata.</w:t>
      </w:r>
    </w:p>
    <w:p w14:paraId="518BC788" w14:textId="3FE29B66" w:rsidR="00717066" w:rsidRPr="008B6BC5" w:rsidRDefault="00377068" w:rsidP="00D2510A">
      <w:pPr>
        <w:pStyle w:val="Standardtext"/>
        <w:numPr>
          <w:ilvl w:val="2"/>
          <w:numId w:val="15"/>
        </w:numPr>
        <w:tabs>
          <w:tab w:val="left" w:pos="709"/>
        </w:tabs>
        <w:spacing w:before="240" w:after="240"/>
        <w:ind w:left="1560" w:hanging="709"/>
        <w:jc w:val="both"/>
        <w:rPr>
          <w:rFonts w:ascii="Arial" w:hAnsi="Arial" w:cs="Arial"/>
          <w:lang w:val="es-MX"/>
        </w:rPr>
      </w:pPr>
      <w:r w:rsidRPr="00377068">
        <w:rPr>
          <w:rFonts w:ascii="Arial" w:hAnsi="Arial" w:cs="Arial"/>
          <w:lang w:val="es-MX"/>
        </w:rPr>
        <w:t>Remitir por medio del DPV, al área encargada de la vigilancia de Sistemas de Pago del BCR, las bitácoras del Transfer365 que permitan dar seguimiento a los diferentes incidentes o contingencias que surjan en la operatividad, de acuerdo con los formatos y plazos que dicha área indique.</w:t>
      </w:r>
    </w:p>
    <w:p w14:paraId="58F63B77" w14:textId="0439D465" w:rsidR="005A237B" w:rsidRPr="00BE5FA7" w:rsidRDefault="00FD1642" w:rsidP="005A237B">
      <w:pPr>
        <w:pStyle w:val="Standardtext"/>
        <w:numPr>
          <w:ilvl w:val="2"/>
          <w:numId w:val="15"/>
        </w:numPr>
        <w:spacing w:before="240" w:after="240"/>
        <w:ind w:left="1560" w:hanging="709"/>
        <w:jc w:val="both"/>
        <w:rPr>
          <w:rFonts w:ascii="Arial" w:hAnsi="Arial" w:cs="Arial"/>
          <w:lang w:val="es-MX"/>
        </w:rPr>
      </w:pPr>
      <w:r w:rsidRPr="00FD1642">
        <w:rPr>
          <w:rFonts w:ascii="Arial" w:hAnsi="Arial" w:cs="Arial"/>
          <w:lang w:val="es-MX"/>
        </w:rPr>
        <w:t>Asegurar la alta disponibilidad de la plataforma tecnológica para el Sistema.</w:t>
      </w:r>
    </w:p>
    <w:p w14:paraId="4BE6A617" w14:textId="44B26435" w:rsidR="001E6D13" w:rsidRPr="00BE5FA7" w:rsidRDefault="007429ED" w:rsidP="00D2510A">
      <w:pPr>
        <w:pStyle w:val="Standardtext"/>
        <w:numPr>
          <w:ilvl w:val="1"/>
          <w:numId w:val="15"/>
        </w:numPr>
        <w:spacing w:before="240" w:after="240"/>
        <w:ind w:left="851" w:hanging="567"/>
        <w:jc w:val="both"/>
        <w:rPr>
          <w:rFonts w:ascii="Arial" w:hAnsi="Arial" w:cs="Arial"/>
          <w:b/>
          <w:lang w:val="es-MX"/>
        </w:rPr>
      </w:pPr>
      <w:r w:rsidRPr="00BE5FA7">
        <w:rPr>
          <w:rFonts w:ascii="Arial" w:hAnsi="Arial" w:cs="Arial"/>
          <w:b/>
          <w:lang w:val="es-MX"/>
        </w:rPr>
        <w:t xml:space="preserve">Proceso </w:t>
      </w:r>
      <w:r w:rsidR="001E6D13" w:rsidRPr="00BE5FA7">
        <w:rPr>
          <w:rFonts w:ascii="Arial" w:hAnsi="Arial" w:cs="Arial"/>
          <w:b/>
          <w:lang w:val="es-MX"/>
        </w:rPr>
        <w:t xml:space="preserve">para ser </w:t>
      </w:r>
      <w:r w:rsidR="00EB68BE">
        <w:rPr>
          <w:rFonts w:ascii="Arial" w:hAnsi="Arial" w:cs="Arial"/>
          <w:b/>
          <w:lang w:val="es-MX"/>
        </w:rPr>
        <w:t>Participante</w:t>
      </w:r>
      <w:r w:rsidR="001E6D13" w:rsidRPr="00BE5FA7">
        <w:rPr>
          <w:rFonts w:ascii="Arial" w:hAnsi="Arial" w:cs="Arial"/>
          <w:b/>
          <w:lang w:val="es-MX"/>
        </w:rPr>
        <w:t xml:space="preserve">s del </w:t>
      </w:r>
      <w:r w:rsidR="00C765DE">
        <w:rPr>
          <w:rFonts w:ascii="Arial" w:hAnsi="Arial" w:cs="Arial"/>
          <w:b/>
          <w:lang w:val="es-MX"/>
        </w:rPr>
        <w:t>Transfer365</w:t>
      </w:r>
      <w:r w:rsidR="001E6D13" w:rsidRPr="00BE5FA7">
        <w:rPr>
          <w:rFonts w:ascii="Arial" w:hAnsi="Arial" w:cs="Arial"/>
          <w:b/>
          <w:lang w:val="es-MX"/>
        </w:rPr>
        <w:t>:</w:t>
      </w:r>
    </w:p>
    <w:p w14:paraId="6A7E8F07" w14:textId="0F58EA1C" w:rsidR="001E6D13" w:rsidRDefault="007737DD" w:rsidP="00D2510A">
      <w:pPr>
        <w:pStyle w:val="Standardtext"/>
        <w:numPr>
          <w:ilvl w:val="2"/>
          <w:numId w:val="13"/>
        </w:numPr>
        <w:spacing w:before="240" w:after="240"/>
        <w:ind w:left="1560" w:hanging="709"/>
        <w:jc w:val="both"/>
        <w:rPr>
          <w:rFonts w:ascii="Arial" w:hAnsi="Arial" w:cs="Arial"/>
          <w:lang w:val="es-MX"/>
        </w:rPr>
      </w:pPr>
      <w:bookmarkStart w:id="60" w:name="_Toc5699675"/>
      <w:r w:rsidRPr="007737DD">
        <w:rPr>
          <w:rFonts w:ascii="Arial" w:hAnsi="Arial" w:cs="Arial"/>
          <w:lang w:val="es-MX"/>
        </w:rPr>
        <w:t>Las entidades que cumplan con lo establecido en el numeral 4.</w:t>
      </w:r>
      <w:r w:rsidR="001049F8">
        <w:rPr>
          <w:rFonts w:ascii="Arial" w:hAnsi="Arial" w:cs="Arial"/>
          <w:lang w:val="es-MX"/>
        </w:rPr>
        <w:t>2</w:t>
      </w:r>
      <w:r w:rsidR="00745B28">
        <w:rPr>
          <w:rFonts w:ascii="Arial" w:hAnsi="Arial" w:cs="Arial"/>
          <w:lang w:val="es-MX"/>
        </w:rPr>
        <w:t>,</w:t>
      </w:r>
      <w:r w:rsidRPr="007737DD">
        <w:rPr>
          <w:rFonts w:ascii="Arial" w:hAnsi="Arial" w:cs="Arial"/>
          <w:lang w:val="es-MX"/>
        </w:rPr>
        <w:t xml:space="preserve"> que deseen ser </w:t>
      </w:r>
      <w:r w:rsidR="00EB68BE">
        <w:rPr>
          <w:rFonts w:ascii="Arial" w:hAnsi="Arial" w:cs="Arial"/>
          <w:lang w:val="es-MX"/>
        </w:rPr>
        <w:t>Participante</w:t>
      </w:r>
      <w:r w:rsidRPr="007737DD">
        <w:rPr>
          <w:rFonts w:ascii="Arial" w:hAnsi="Arial" w:cs="Arial"/>
          <w:lang w:val="es-MX"/>
        </w:rPr>
        <w:t>s del Transfer365, deberán remitir al Gerente</w:t>
      </w:r>
      <w:r w:rsidR="00745B28">
        <w:rPr>
          <w:rFonts w:ascii="Arial" w:hAnsi="Arial" w:cs="Arial"/>
          <w:lang w:val="es-MX"/>
        </w:rPr>
        <w:t>,</w:t>
      </w:r>
      <w:r w:rsidRPr="007737DD">
        <w:rPr>
          <w:rFonts w:ascii="Arial" w:hAnsi="Arial" w:cs="Arial"/>
          <w:lang w:val="es-MX"/>
        </w:rPr>
        <w:t xml:space="preserve"> carta firmada y sellada por el Representante Legal solicitando su participación.  </w:t>
      </w:r>
    </w:p>
    <w:p w14:paraId="581CF5BD" w14:textId="6F9EC4B0" w:rsidR="00E2470E" w:rsidRPr="00E2470E" w:rsidRDefault="00E2470E" w:rsidP="00E2470E">
      <w:pPr>
        <w:pStyle w:val="Standardtext"/>
        <w:numPr>
          <w:ilvl w:val="2"/>
          <w:numId w:val="13"/>
        </w:numPr>
        <w:spacing w:before="240" w:after="240"/>
        <w:ind w:left="1560" w:hanging="709"/>
        <w:jc w:val="both"/>
        <w:rPr>
          <w:rFonts w:ascii="Arial" w:hAnsi="Arial" w:cs="Arial"/>
          <w:lang w:val="es-MX"/>
        </w:rPr>
      </w:pPr>
      <w:r w:rsidRPr="00E2470E">
        <w:rPr>
          <w:rFonts w:ascii="Arial" w:hAnsi="Arial" w:cs="Arial"/>
          <w:lang w:val="es-MX"/>
        </w:rPr>
        <w:t xml:space="preserve">El </w:t>
      </w:r>
      <w:r w:rsidR="00745B28">
        <w:rPr>
          <w:rFonts w:ascii="Arial" w:hAnsi="Arial" w:cs="Arial"/>
          <w:lang w:val="es-MX"/>
        </w:rPr>
        <w:t xml:space="preserve">jefe del </w:t>
      </w:r>
      <w:r w:rsidRPr="00E2470E">
        <w:rPr>
          <w:rFonts w:ascii="Arial" w:hAnsi="Arial" w:cs="Arial"/>
          <w:lang w:val="es-MX"/>
        </w:rPr>
        <w:t>DPV remitirá tal solicitud para opinión de la Oficialía de Cumplimiento y de la Unidad de Vigilancia de Sistemas de Pagos, y en caso se requiera información adicional de la entidad solicitante, ésta será gestionada por el Gerente directamente con dicha entidad, para que sea remitida según corresponda.</w:t>
      </w:r>
    </w:p>
    <w:p w14:paraId="6A0C4746" w14:textId="77777777" w:rsidR="00E2470E" w:rsidRPr="00E2470E" w:rsidRDefault="00E2470E" w:rsidP="00E2470E">
      <w:pPr>
        <w:pStyle w:val="Standardtext"/>
        <w:spacing w:before="240" w:after="240"/>
        <w:ind w:left="1560"/>
        <w:jc w:val="both"/>
        <w:rPr>
          <w:rFonts w:ascii="Arial" w:hAnsi="Arial" w:cs="Arial"/>
          <w:lang w:val="es-MX"/>
        </w:rPr>
      </w:pPr>
      <w:r w:rsidRPr="00E2470E">
        <w:rPr>
          <w:rFonts w:ascii="Arial" w:hAnsi="Arial" w:cs="Arial"/>
          <w:lang w:val="es-MX"/>
        </w:rPr>
        <w:t xml:space="preserve">Una vez Recibida en su totalidad la información, será analizada y se emitirán las opiniones respectivas, las cuales se incorporarán en la evaluación técnica integral que realizará el DPV, enviándolas al Gerente a más tardar 2 días hábiles posteriores a la recepción de la opinión final de la Oficialía de Cumplimiento y de la Unidad de Vigilancia de Sistemas de Pagos. </w:t>
      </w:r>
    </w:p>
    <w:p w14:paraId="33FF299C" w14:textId="699B91D3" w:rsidR="00E2470E" w:rsidRDefault="00E2470E" w:rsidP="00E2470E">
      <w:pPr>
        <w:pStyle w:val="Standardtext"/>
        <w:spacing w:before="240" w:after="240"/>
        <w:ind w:left="1560"/>
        <w:jc w:val="both"/>
        <w:rPr>
          <w:rFonts w:ascii="Arial" w:hAnsi="Arial" w:cs="Arial"/>
          <w:lang w:val="es-MX"/>
        </w:rPr>
      </w:pPr>
      <w:r w:rsidRPr="00E2470E">
        <w:rPr>
          <w:rFonts w:ascii="Arial" w:hAnsi="Arial" w:cs="Arial"/>
          <w:lang w:val="es-MX"/>
        </w:rPr>
        <w:t>De ser desfavorable, el Gerente remitirá la respuesta a la entidad</w:t>
      </w:r>
      <w:r w:rsidR="00745B28">
        <w:rPr>
          <w:rFonts w:ascii="Arial" w:hAnsi="Arial" w:cs="Arial"/>
          <w:lang w:val="es-MX"/>
        </w:rPr>
        <w:t>,</w:t>
      </w:r>
      <w:r w:rsidRPr="00E2470E">
        <w:rPr>
          <w:rFonts w:ascii="Arial" w:hAnsi="Arial" w:cs="Arial"/>
          <w:lang w:val="es-MX"/>
        </w:rPr>
        <w:t xml:space="preserve"> a más tardar 3 días hábiles después.  En caso de ser favorable, el Gerente lo </w:t>
      </w:r>
      <w:r w:rsidRPr="00E2470E">
        <w:rPr>
          <w:rFonts w:ascii="Arial" w:hAnsi="Arial" w:cs="Arial"/>
          <w:lang w:val="es-MX"/>
        </w:rPr>
        <w:lastRenderedPageBreak/>
        <w:t>informará y solicitará visto bueno a la Presidencia del BCR,</w:t>
      </w:r>
      <w:r w:rsidR="008D0E46">
        <w:rPr>
          <w:rFonts w:ascii="Arial" w:hAnsi="Arial" w:cs="Arial"/>
          <w:lang w:val="es-MX"/>
        </w:rPr>
        <w:t xml:space="preserve"> para que</w:t>
      </w:r>
      <w:r w:rsidR="00745B28">
        <w:rPr>
          <w:rFonts w:ascii="Arial" w:hAnsi="Arial" w:cs="Arial"/>
          <w:lang w:val="es-MX"/>
        </w:rPr>
        <w:t xml:space="preserve"> </w:t>
      </w:r>
      <w:r w:rsidRPr="00E2470E">
        <w:rPr>
          <w:rFonts w:ascii="Arial" w:hAnsi="Arial" w:cs="Arial"/>
          <w:lang w:val="es-MX"/>
        </w:rPr>
        <w:t xml:space="preserve">con </w:t>
      </w:r>
      <w:r w:rsidR="008D0E46">
        <w:rPr>
          <w:rFonts w:ascii="Arial" w:hAnsi="Arial" w:cs="Arial"/>
          <w:lang w:val="es-MX"/>
        </w:rPr>
        <w:t>su</w:t>
      </w:r>
      <w:r w:rsidRPr="00E2470E">
        <w:rPr>
          <w:rFonts w:ascii="Arial" w:hAnsi="Arial" w:cs="Arial"/>
          <w:lang w:val="es-MX"/>
        </w:rPr>
        <w:t xml:space="preserve"> autorización</w:t>
      </w:r>
      <w:r w:rsidR="00B56DE0">
        <w:rPr>
          <w:rFonts w:ascii="Arial" w:hAnsi="Arial" w:cs="Arial"/>
          <w:lang w:val="es-MX"/>
        </w:rPr>
        <w:t>,</w:t>
      </w:r>
      <w:r w:rsidRPr="00E2470E">
        <w:rPr>
          <w:rFonts w:ascii="Arial" w:hAnsi="Arial" w:cs="Arial"/>
          <w:lang w:val="es-MX"/>
        </w:rPr>
        <w:t xml:space="preserve"> lo ha</w:t>
      </w:r>
      <w:r w:rsidR="008D0E46">
        <w:rPr>
          <w:rFonts w:ascii="Arial" w:hAnsi="Arial" w:cs="Arial"/>
          <w:lang w:val="es-MX"/>
        </w:rPr>
        <w:t>ga</w:t>
      </w:r>
      <w:r w:rsidRPr="00E2470E">
        <w:rPr>
          <w:rFonts w:ascii="Arial" w:hAnsi="Arial" w:cs="Arial"/>
          <w:lang w:val="es-MX"/>
        </w:rPr>
        <w:t xml:space="preserve"> del conocimiento de la entidad proporcionándole la documentación técnica correspondiente para la realización de sus desarrollos. La comunicación del resultado de la evaluación deberá realizarse, en un plazo no mayor de treinta días hábiles, contados a partir de la recepción completa de la información que haya remitido el solicitante.</w:t>
      </w:r>
    </w:p>
    <w:p w14:paraId="3A0BCE1C" w14:textId="26F606E1" w:rsidR="00E2470E" w:rsidRDefault="00E2470E" w:rsidP="00E2470E">
      <w:pPr>
        <w:pStyle w:val="Standardtext"/>
        <w:numPr>
          <w:ilvl w:val="2"/>
          <w:numId w:val="13"/>
        </w:numPr>
        <w:spacing w:before="240" w:after="240"/>
        <w:ind w:left="1560" w:hanging="709"/>
        <w:jc w:val="both"/>
        <w:rPr>
          <w:rFonts w:ascii="Arial" w:hAnsi="Arial" w:cs="Arial"/>
          <w:lang w:val="es-MX"/>
        </w:rPr>
      </w:pPr>
      <w:r w:rsidRPr="00E2470E">
        <w:rPr>
          <w:rFonts w:ascii="Arial" w:hAnsi="Arial" w:cs="Arial"/>
          <w:lang w:val="es-MX"/>
        </w:rPr>
        <w:t>Una vez autorizado, el Participante deberá realizar los desarrollos necesarios y cumplir con la fase de pruebas de interconexión entre su sistema y el Transfer365.</w:t>
      </w:r>
    </w:p>
    <w:p w14:paraId="7FF593F2" w14:textId="00A729E4" w:rsidR="00E2470E" w:rsidRDefault="00E2470E" w:rsidP="00E2470E">
      <w:pPr>
        <w:pStyle w:val="Standardtext"/>
        <w:numPr>
          <w:ilvl w:val="2"/>
          <w:numId w:val="13"/>
        </w:numPr>
        <w:spacing w:before="240" w:after="240"/>
        <w:ind w:left="1560" w:hanging="709"/>
        <w:jc w:val="both"/>
        <w:rPr>
          <w:rFonts w:ascii="Arial" w:hAnsi="Arial" w:cs="Arial"/>
          <w:lang w:val="es-MX"/>
        </w:rPr>
      </w:pPr>
      <w:bookmarkStart w:id="61" w:name="_Toc5699676"/>
      <w:bookmarkEnd w:id="60"/>
      <w:r w:rsidRPr="00E2470E">
        <w:rPr>
          <w:rFonts w:ascii="Arial" w:hAnsi="Arial" w:cs="Arial"/>
          <w:lang w:val="es-MX"/>
        </w:rPr>
        <w:t xml:space="preserve">Habiendo finalizado el proceso de pruebas, a más tardar cinco días hábiles después, el </w:t>
      </w:r>
      <w:r w:rsidR="00745B28">
        <w:rPr>
          <w:rFonts w:ascii="Arial" w:hAnsi="Arial" w:cs="Arial"/>
          <w:lang w:val="es-MX"/>
        </w:rPr>
        <w:t xml:space="preserve">jefe del </w:t>
      </w:r>
      <w:r w:rsidRPr="00E2470E">
        <w:rPr>
          <w:rFonts w:ascii="Arial" w:hAnsi="Arial" w:cs="Arial"/>
          <w:lang w:val="es-MX"/>
        </w:rPr>
        <w:t>DPV le extenderá una certificación (incluirá el uso del módulo PO, como plan de contingencia, de acuerdo con lo establecido en numeral 5.4.6), que evidencie que se ha culminado satisfactoriamente, indicándole que debe suscribir el contrato de participación del Transfer365 con el BCR, para lo cual contará con un máximo de treinta días calendario; de no hacerlo en ese plazo, deberá iniciar nuevamente el proceso.</w:t>
      </w:r>
    </w:p>
    <w:bookmarkEnd w:id="61"/>
    <w:p w14:paraId="4418E7DF" w14:textId="6EE6309D" w:rsidR="00E2470E" w:rsidRDefault="00E2470E" w:rsidP="00E2470E">
      <w:pPr>
        <w:pStyle w:val="Standardtext"/>
        <w:numPr>
          <w:ilvl w:val="2"/>
          <w:numId w:val="13"/>
        </w:numPr>
        <w:spacing w:before="240" w:after="240"/>
        <w:ind w:left="1560" w:hanging="709"/>
        <w:jc w:val="both"/>
        <w:rPr>
          <w:rFonts w:ascii="Arial" w:hAnsi="Arial" w:cs="Arial"/>
          <w:lang w:val="es-MX"/>
        </w:rPr>
      </w:pPr>
      <w:r w:rsidRPr="00E2470E">
        <w:rPr>
          <w:rFonts w:ascii="Arial" w:hAnsi="Arial" w:cs="Arial"/>
          <w:lang w:val="es-MX"/>
        </w:rPr>
        <w:t>Durante el periodo para suscribir el contrato, el BCR por medio del DPV remitirá al Participante los componentes de seguridad y su configuración para la interconexión entre su sistema y el Transfer365 en ambiente de producción.</w:t>
      </w:r>
    </w:p>
    <w:p w14:paraId="0FE3E422" w14:textId="3BCEFD7D" w:rsidR="00E2470E" w:rsidRDefault="00E2470E" w:rsidP="00E2470E">
      <w:pPr>
        <w:pStyle w:val="Standardtext"/>
        <w:numPr>
          <w:ilvl w:val="2"/>
          <w:numId w:val="13"/>
        </w:numPr>
        <w:spacing w:before="240" w:after="240"/>
        <w:ind w:left="1560" w:hanging="709"/>
        <w:jc w:val="both"/>
        <w:rPr>
          <w:rFonts w:ascii="Arial" w:hAnsi="Arial" w:cs="Arial"/>
          <w:lang w:val="es-MX"/>
        </w:rPr>
      </w:pPr>
      <w:r w:rsidRPr="00E2470E">
        <w:rPr>
          <w:rFonts w:ascii="Arial" w:hAnsi="Arial" w:cs="Arial"/>
          <w:lang w:val="es-MX"/>
        </w:rPr>
        <w:t xml:space="preserve">Posterior a la suscripción del referido Contrato, el representante legal del Participante o el funcionario que este delegue remitirá al </w:t>
      </w:r>
      <w:r w:rsidR="00745B28">
        <w:rPr>
          <w:rFonts w:ascii="Arial" w:hAnsi="Arial" w:cs="Arial"/>
          <w:lang w:val="es-MX"/>
        </w:rPr>
        <w:t xml:space="preserve">jefe del </w:t>
      </w:r>
      <w:r w:rsidRPr="00E2470E">
        <w:rPr>
          <w:rFonts w:ascii="Arial" w:hAnsi="Arial" w:cs="Arial"/>
          <w:lang w:val="es-MX"/>
        </w:rPr>
        <w:t>DPV, solicitud de usuarios, adjuntando el formato establecido en el Anexo No. 2, con los nombres de los usuarios y la separación de funciones y roles. Asimismo, deberá incluir el nombre de la persona que tendrá asignados dos Tokens de PKI asociados al sistema interno del Participante, que estará interconectado con el Transfer365 para su procesamiento principal y su centro alterno. El DPV contará con un máximo de treinta días calendario para responder y entregar los respectivos tokens al Participante.</w:t>
      </w:r>
    </w:p>
    <w:p w14:paraId="4A447C3C" w14:textId="1AE56F29" w:rsidR="001E6D13" w:rsidRPr="00BE5FA7" w:rsidRDefault="001E6D13" w:rsidP="00D2510A">
      <w:pPr>
        <w:pStyle w:val="Standardtext"/>
        <w:numPr>
          <w:ilvl w:val="1"/>
          <w:numId w:val="15"/>
        </w:numPr>
        <w:tabs>
          <w:tab w:val="left" w:pos="851"/>
        </w:tabs>
        <w:spacing w:before="240" w:after="240"/>
        <w:ind w:left="851" w:hanging="567"/>
        <w:jc w:val="both"/>
        <w:rPr>
          <w:rFonts w:ascii="Arial" w:hAnsi="Arial" w:cs="Arial"/>
          <w:b/>
          <w:lang w:val="es-MX"/>
        </w:rPr>
      </w:pPr>
      <w:bookmarkStart w:id="62" w:name="_Toc5699679"/>
      <w:bookmarkStart w:id="63" w:name="_Toc5891048"/>
      <w:r w:rsidRPr="00BE5FA7">
        <w:rPr>
          <w:rFonts w:ascii="Arial" w:hAnsi="Arial" w:cs="Arial"/>
          <w:b/>
          <w:lang w:val="es-MX"/>
        </w:rPr>
        <w:t>Administración de Usuarios y Roles</w:t>
      </w:r>
      <w:bookmarkEnd w:id="62"/>
      <w:bookmarkEnd w:id="63"/>
      <w:r w:rsidRPr="00BE5FA7">
        <w:rPr>
          <w:rFonts w:ascii="Arial" w:hAnsi="Arial" w:cs="Arial"/>
          <w:b/>
          <w:lang w:val="es-MX"/>
        </w:rPr>
        <w:t xml:space="preserve"> (perfiles).</w:t>
      </w:r>
    </w:p>
    <w:p w14:paraId="35142DFE" w14:textId="612D80AF" w:rsidR="001E6D13" w:rsidRPr="00BE5FA7" w:rsidRDefault="005601B5" w:rsidP="00D2510A">
      <w:pPr>
        <w:pStyle w:val="Standardtext"/>
        <w:numPr>
          <w:ilvl w:val="2"/>
          <w:numId w:val="15"/>
        </w:numPr>
        <w:spacing w:before="240" w:after="240"/>
        <w:ind w:left="1560" w:hanging="709"/>
        <w:jc w:val="both"/>
        <w:rPr>
          <w:rFonts w:ascii="Arial" w:hAnsi="Arial" w:cs="Arial"/>
          <w:lang w:val="es-MX"/>
        </w:rPr>
      </w:pPr>
      <w:bookmarkStart w:id="64" w:name="_Toc5699681"/>
      <w:r w:rsidRPr="005601B5">
        <w:rPr>
          <w:rFonts w:ascii="Arial" w:hAnsi="Arial" w:cs="Arial"/>
          <w:lang w:val="es-MX"/>
        </w:rPr>
        <w:t xml:space="preserve">A más tardar cinco días hábiles posteriores de haber recibido la solicitud contenida en el Anexo </w:t>
      </w:r>
      <w:r w:rsidR="00EB68BE">
        <w:rPr>
          <w:rFonts w:ascii="Arial" w:hAnsi="Arial" w:cs="Arial"/>
          <w:lang w:val="es-MX"/>
        </w:rPr>
        <w:t xml:space="preserve">No. </w:t>
      </w:r>
      <w:r w:rsidRPr="005601B5">
        <w:rPr>
          <w:rFonts w:ascii="Arial" w:hAnsi="Arial" w:cs="Arial"/>
          <w:lang w:val="es-MX"/>
        </w:rPr>
        <w:t>2, el BCR asignará los usuarios de acuerdo con lo establecido en el Anexo No. 3 y coordinará</w:t>
      </w:r>
      <w:r w:rsidR="00EB68BE">
        <w:rPr>
          <w:rFonts w:ascii="Arial" w:hAnsi="Arial" w:cs="Arial"/>
          <w:lang w:val="es-MX"/>
        </w:rPr>
        <w:t xml:space="preserve"> la</w:t>
      </w:r>
      <w:r w:rsidRPr="005601B5">
        <w:rPr>
          <w:rFonts w:ascii="Arial" w:hAnsi="Arial" w:cs="Arial"/>
          <w:lang w:val="es-MX"/>
        </w:rPr>
        <w:t xml:space="preserve"> entrega correspondiente.</w:t>
      </w:r>
    </w:p>
    <w:p w14:paraId="62354C40" w14:textId="236FE6A8" w:rsidR="001E6D13" w:rsidRPr="00BE5FA7" w:rsidRDefault="00CB3DED" w:rsidP="00D2510A">
      <w:pPr>
        <w:pStyle w:val="Standardtext"/>
        <w:numPr>
          <w:ilvl w:val="2"/>
          <w:numId w:val="15"/>
        </w:numPr>
        <w:spacing w:before="240" w:after="240"/>
        <w:ind w:left="1560" w:hanging="709"/>
        <w:jc w:val="both"/>
        <w:rPr>
          <w:rFonts w:ascii="Arial" w:hAnsi="Arial" w:cs="Arial"/>
          <w:lang w:val="es-MX"/>
        </w:rPr>
      </w:pPr>
      <w:r w:rsidRPr="00CB3DED">
        <w:rPr>
          <w:rFonts w:ascii="Arial" w:hAnsi="Arial" w:cs="Arial"/>
          <w:lang w:val="es-MX"/>
        </w:rPr>
        <w:lastRenderedPageBreak/>
        <w:t xml:space="preserve">Las operaciones realizadas en el Transfer365 por parte de los usuarios serán responsabilidad única y directa de cada </w:t>
      </w:r>
      <w:r w:rsidR="00EB68BE">
        <w:rPr>
          <w:rFonts w:ascii="Arial" w:hAnsi="Arial" w:cs="Arial"/>
          <w:lang w:val="es-MX"/>
        </w:rPr>
        <w:t>Participante</w:t>
      </w:r>
      <w:r w:rsidRPr="00CB3DED">
        <w:rPr>
          <w:rFonts w:ascii="Arial" w:hAnsi="Arial" w:cs="Arial"/>
          <w:lang w:val="es-MX"/>
        </w:rPr>
        <w:t>. Cada uno de sus usuarios será responsable del uso de sus contraseñas y dispositivos que tenga asignados, manteniendo su confidencialidad.</w:t>
      </w:r>
    </w:p>
    <w:p w14:paraId="31BB316E" w14:textId="23DBFE24" w:rsidR="001E6D13" w:rsidRPr="00BE5FA7" w:rsidRDefault="00B9029E" w:rsidP="00D2510A">
      <w:pPr>
        <w:pStyle w:val="Standardtext"/>
        <w:numPr>
          <w:ilvl w:val="2"/>
          <w:numId w:val="15"/>
        </w:numPr>
        <w:spacing w:before="240" w:after="240"/>
        <w:ind w:left="1560" w:hanging="709"/>
        <w:jc w:val="both"/>
        <w:rPr>
          <w:rFonts w:ascii="Arial" w:hAnsi="Arial" w:cs="Arial"/>
          <w:lang w:val="es-MX"/>
        </w:rPr>
      </w:pPr>
      <w:r w:rsidRPr="00B9029E">
        <w:rPr>
          <w:rFonts w:ascii="Arial" w:hAnsi="Arial" w:cs="Arial"/>
          <w:lang w:val="es-MX"/>
        </w:rPr>
        <w:t>La solicitud de incorporación de un nuevo usuario, deberá realizarlo por lo menos con tres días hábiles de anticipación.</w:t>
      </w:r>
    </w:p>
    <w:p w14:paraId="504A8C8C" w14:textId="7A0BA0BC" w:rsidR="00FF2D5B" w:rsidRPr="00BE5FA7" w:rsidRDefault="002E55A0" w:rsidP="00D2510A">
      <w:pPr>
        <w:pStyle w:val="Standardtext"/>
        <w:numPr>
          <w:ilvl w:val="2"/>
          <w:numId w:val="15"/>
        </w:numPr>
        <w:spacing w:before="240" w:after="240"/>
        <w:ind w:left="1560" w:hanging="709"/>
        <w:contextualSpacing/>
        <w:jc w:val="both"/>
        <w:rPr>
          <w:rFonts w:ascii="Arial" w:hAnsi="Arial" w:cs="Arial"/>
          <w:szCs w:val="18"/>
          <w:lang w:val="es-SV"/>
        </w:rPr>
      </w:pPr>
      <w:r w:rsidRPr="002E55A0">
        <w:rPr>
          <w:rFonts w:ascii="Arial" w:hAnsi="Arial" w:cs="Arial"/>
          <w:szCs w:val="18"/>
          <w:lang w:val="es-SV"/>
        </w:rPr>
        <w:t xml:space="preserve">En el caso de que una persona deje de ser usuario del Transfer365 o que por cualquier motivo se le retire el acceso, el representante legal o funcionario delegado del </w:t>
      </w:r>
      <w:r w:rsidR="00EB68BE">
        <w:rPr>
          <w:rFonts w:ascii="Arial" w:hAnsi="Arial" w:cs="Arial"/>
          <w:szCs w:val="18"/>
          <w:lang w:val="es-SV"/>
        </w:rPr>
        <w:t>Participante,</w:t>
      </w:r>
      <w:r w:rsidRPr="002E55A0">
        <w:rPr>
          <w:rFonts w:ascii="Arial" w:hAnsi="Arial" w:cs="Arial"/>
          <w:szCs w:val="18"/>
          <w:lang w:val="es-SV"/>
        </w:rPr>
        <w:t xml:space="preserve"> deberá notificar de forma inmediata mediante carta o por correo electrónico al </w:t>
      </w:r>
      <w:r w:rsidR="00EB68BE">
        <w:rPr>
          <w:rFonts w:ascii="Arial" w:hAnsi="Arial" w:cs="Arial"/>
          <w:szCs w:val="18"/>
          <w:lang w:val="es-SV"/>
        </w:rPr>
        <w:t xml:space="preserve">jefe del </w:t>
      </w:r>
      <w:r w:rsidRPr="002E55A0">
        <w:rPr>
          <w:rFonts w:ascii="Arial" w:hAnsi="Arial" w:cs="Arial"/>
          <w:szCs w:val="18"/>
          <w:lang w:val="es-SV"/>
        </w:rPr>
        <w:t xml:space="preserve">DPV </w:t>
      </w:r>
      <w:r w:rsidR="00EB68BE">
        <w:rPr>
          <w:rFonts w:ascii="Arial" w:hAnsi="Arial" w:cs="Arial"/>
          <w:szCs w:val="18"/>
          <w:lang w:val="es-SV"/>
        </w:rPr>
        <w:t xml:space="preserve">para su </w:t>
      </w:r>
      <w:r w:rsidRPr="002E55A0">
        <w:rPr>
          <w:rFonts w:ascii="Arial" w:hAnsi="Arial" w:cs="Arial"/>
          <w:szCs w:val="18"/>
          <w:lang w:val="es-SV"/>
        </w:rPr>
        <w:t>elimina</w:t>
      </w:r>
      <w:r w:rsidR="00EB68BE">
        <w:rPr>
          <w:rFonts w:ascii="Arial" w:hAnsi="Arial" w:cs="Arial"/>
          <w:szCs w:val="18"/>
          <w:lang w:val="es-SV"/>
        </w:rPr>
        <w:t>ción,</w:t>
      </w:r>
      <w:r w:rsidRPr="002E55A0">
        <w:rPr>
          <w:rFonts w:ascii="Arial" w:hAnsi="Arial" w:cs="Arial"/>
          <w:szCs w:val="18"/>
          <w:lang w:val="es-SV"/>
        </w:rPr>
        <w:t xml:space="preserve"> a más tardar el día hábil siguiente; caso contrario, correrá bajo responsabilidad del </w:t>
      </w:r>
      <w:r w:rsidR="00EB68BE">
        <w:rPr>
          <w:rFonts w:ascii="Arial" w:hAnsi="Arial" w:cs="Arial"/>
          <w:szCs w:val="18"/>
          <w:lang w:val="es-SV"/>
        </w:rPr>
        <w:t>Participante</w:t>
      </w:r>
      <w:r w:rsidRPr="002E55A0">
        <w:rPr>
          <w:rFonts w:ascii="Arial" w:hAnsi="Arial" w:cs="Arial"/>
          <w:szCs w:val="18"/>
          <w:lang w:val="es-SV"/>
        </w:rPr>
        <w:t xml:space="preserve"> cualquier ingreso indebido por parte del referido usuario.</w:t>
      </w:r>
    </w:p>
    <w:p w14:paraId="2092F19E" w14:textId="77777777" w:rsidR="00FF2D5B" w:rsidRPr="00BE5FA7" w:rsidRDefault="00FF2D5B" w:rsidP="00F10163">
      <w:pPr>
        <w:pStyle w:val="Standardtext"/>
        <w:spacing w:before="240" w:after="240"/>
        <w:ind w:left="1560" w:hanging="709"/>
        <w:contextualSpacing/>
        <w:jc w:val="both"/>
        <w:rPr>
          <w:rFonts w:ascii="Arial" w:hAnsi="Arial" w:cs="Arial"/>
          <w:szCs w:val="18"/>
          <w:lang w:val="es-SV"/>
        </w:rPr>
      </w:pPr>
    </w:p>
    <w:p w14:paraId="42E1355E" w14:textId="2B224190" w:rsidR="005121F8" w:rsidRPr="00BE5FA7" w:rsidRDefault="00923179" w:rsidP="00D2510A">
      <w:pPr>
        <w:pStyle w:val="Standardtext"/>
        <w:numPr>
          <w:ilvl w:val="2"/>
          <w:numId w:val="15"/>
        </w:numPr>
        <w:spacing w:before="240" w:after="240"/>
        <w:ind w:left="1560" w:hanging="709"/>
        <w:contextualSpacing/>
        <w:jc w:val="both"/>
        <w:rPr>
          <w:rFonts w:ascii="Arial" w:hAnsi="Arial" w:cs="Arial"/>
          <w:lang w:val="es-MX"/>
        </w:rPr>
      </w:pPr>
      <w:r w:rsidRPr="00923179">
        <w:rPr>
          <w:rFonts w:ascii="Arial" w:hAnsi="Arial" w:cs="Arial"/>
          <w:lang w:val="es-MX"/>
        </w:rPr>
        <w:t xml:space="preserve">Con el fin de mantener una eficiente administración de los usuarios, el </w:t>
      </w:r>
      <w:r w:rsidR="00EB68BE">
        <w:rPr>
          <w:rFonts w:ascii="Arial" w:hAnsi="Arial" w:cs="Arial"/>
          <w:lang w:val="es-MX"/>
        </w:rPr>
        <w:t>Participante</w:t>
      </w:r>
      <w:r w:rsidRPr="00923179">
        <w:rPr>
          <w:rFonts w:ascii="Arial" w:hAnsi="Arial" w:cs="Arial"/>
          <w:lang w:val="es-MX"/>
        </w:rPr>
        <w:t xml:space="preserve"> a través de los usuarios con rol “Administrador </w:t>
      </w:r>
      <w:r w:rsidR="00EB68BE">
        <w:rPr>
          <w:rFonts w:ascii="Arial" w:hAnsi="Arial" w:cs="Arial"/>
          <w:lang w:val="es-MX"/>
        </w:rPr>
        <w:t>Participante</w:t>
      </w:r>
      <w:r w:rsidRPr="00923179">
        <w:rPr>
          <w:rFonts w:ascii="Arial" w:hAnsi="Arial" w:cs="Arial"/>
          <w:lang w:val="es-MX"/>
        </w:rPr>
        <w:t>”, podrá solicitar por correo electrónico</w:t>
      </w:r>
      <w:r w:rsidR="00EB68BE">
        <w:rPr>
          <w:rFonts w:ascii="Arial" w:hAnsi="Arial" w:cs="Arial"/>
          <w:lang w:val="es-MX"/>
        </w:rPr>
        <w:t>,</w:t>
      </w:r>
      <w:r w:rsidRPr="00923179">
        <w:rPr>
          <w:rFonts w:ascii="Arial" w:hAnsi="Arial" w:cs="Arial"/>
          <w:lang w:val="es-MX"/>
        </w:rPr>
        <w:t xml:space="preserve"> al correo </w:t>
      </w:r>
      <w:r w:rsidRPr="00923179">
        <w:rPr>
          <w:rFonts w:ascii="Arial" w:hAnsi="Arial" w:cs="Arial"/>
          <w:b/>
          <w:bCs/>
          <w:lang w:val="es-MX"/>
        </w:rPr>
        <w:t>Transfer365_BCR@bcr.gob.sv</w:t>
      </w:r>
      <w:r w:rsidRPr="00923179">
        <w:rPr>
          <w:rFonts w:ascii="Arial" w:hAnsi="Arial" w:cs="Arial"/>
          <w:lang w:val="es-MX"/>
        </w:rPr>
        <w:t xml:space="preserve"> del DPV, cambios temporales de rol entre sus usuarios, detallando el motivo y fecha del cambio (Anexo No. 3). Los cambios permanentes de roles deberán ser informados a la jefatura del DPV por el Representante Legal o funcionario delegado. Las solicitudes referidas serán atendidas por el DPV en un plazo máximo de tres días hábiles.</w:t>
      </w:r>
    </w:p>
    <w:p w14:paraId="616C052D" w14:textId="57980F85" w:rsidR="001E6D13" w:rsidRDefault="00F04A6B" w:rsidP="00D2510A">
      <w:pPr>
        <w:pStyle w:val="Textoindependiente"/>
        <w:numPr>
          <w:ilvl w:val="2"/>
          <w:numId w:val="15"/>
        </w:numPr>
        <w:spacing w:line="276" w:lineRule="auto"/>
        <w:ind w:left="1560" w:hanging="709"/>
        <w:jc w:val="both"/>
        <w:rPr>
          <w:rFonts w:ascii="Arial" w:eastAsia="Calibri" w:hAnsi="Arial" w:cs="Arial"/>
          <w:sz w:val="22"/>
          <w:szCs w:val="22"/>
          <w:lang w:val="es-MX" w:eastAsia="en-US"/>
        </w:rPr>
      </w:pPr>
      <w:r w:rsidRPr="00F04A6B">
        <w:rPr>
          <w:rFonts w:ascii="Arial" w:eastAsia="Calibri" w:hAnsi="Arial" w:cs="Arial"/>
          <w:sz w:val="22"/>
          <w:szCs w:val="22"/>
          <w:lang w:val="es-MX" w:eastAsia="en-US"/>
        </w:rPr>
        <w:t xml:space="preserve">Una vez entregados los usuarios, los Administradores de los </w:t>
      </w:r>
      <w:r w:rsidR="00EB68BE">
        <w:rPr>
          <w:rFonts w:ascii="Arial" w:eastAsia="Calibri" w:hAnsi="Arial" w:cs="Arial"/>
          <w:sz w:val="22"/>
          <w:szCs w:val="22"/>
          <w:lang w:val="es-MX" w:eastAsia="en-US"/>
        </w:rPr>
        <w:t>Participante</w:t>
      </w:r>
      <w:r w:rsidRPr="00F04A6B">
        <w:rPr>
          <w:rFonts w:ascii="Arial" w:eastAsia="Calibri" w:hAnsi="Arial" w:cs="Arial"/>
          <w:sz w:val="22"/>
          <w:szCs w:val="22"/>
          <w:lang w:val="es-MX" w:eastAsia="en-US"/>
        </w:rPr>
        <w:t>s deberán configurar en el Sistema de Compensación las notificaciones de alertas que podrán recibir cada uno de los usuarios y su información de contacto</w:t>
      </w:r>
      <w:r w:rsidR="00075B2F">
        <w:rPr>
          <w:rFonts w:ascii="Arial" w:eastAsia="Calibri" w:hAnsi="Arial" w:cs="Arial"/>
          <w:sz w:val="22"/>
          <w:szCs w:val="22"/>
          <w:lang w:val="es-MX" w:eastAsia="en-US"/>
        </w:rPr>
        <w:t>.</w:t>
      </w:r>
    </w:p>
    <w:p w14:paraId="23C6A3BD" w14:textId="2FCC5FB3" w:rsidR="001E6D13" w:rsidRPr="00BE5FA7" w:rsidRDefault="001E6D13" w:rsidP="00D2510A">
      <w:pPr>
        <w:pStyle w:val="Standardtext"/>
        <w:numPr>
          <w:ilvl w:val="1"/>
          <w:numId w:val="15"/>
        </w:numPr>
        <w:spacing w:before="240" w:after="240"/>
        <w:ind w:left="851" w:hanging="567"/>
        <w:jc w:val="both"/>
        <w:rPr>
          <w:rFonts w:ascii="Arial" w:hAnsi="Arial" w:cs="Arial"/>
          <w:b/>
          <w:lang w:val="es-MX"/>
        </w:rPr>
      </w:pPr>
      <w:bookmarkStart w:id="65" w:name="_Toc5699690"/>
      <w:bookmarkStart w:id="66" w:name="_Toc5891049"/>
      <w:bookmarkEnd w:id="64"/>
      <w:r w:rsidRPr="00BE5FA7">
        <w:rPr>
          <w:rFonts w:ascii="Arial" w:hAnsi="Arial" w:cs="Arial"/>
          <w:b/>
          <w:lang w:val="es-MX"/>
        </w:rPr>
        <w:t xml:space="preserve">Obligaciones de los </w:t>
      </w:r>
      <w:r w:rsidR="00EB68BE">
        <w:rPr>
          <w:rFonts w:ascii="Arial" w:hAnsi="Arial" w:cs="Arial"/>
          <w:b/>
          <w:lang w:val="es-MX"/>
        </w:rPr>
        <w:t>Participante</w:t>
      </w:r>
      <w:r w:rsidRPr="00BE5FA7">
        <w:rPr>
          <w:rFonts w:ascii="Arial" w:hAnsi="Arial" w:cs="Arial"/>
          <w:b/>
          <w:lang w:val="es-MX"/>
        </w:rPr>
        <w:t>s:</w:t>
      </w:r>
      <w:bookmarkEnd w:id="65"/>
      <w:bookmarkEnd w:id="66"/>
    </w:p>
    <w:p w14:paraId="168449A7" w14:textId="1902980A" w:rsidR="001E6D13" w:rsidRPr="00BE5FA7" w:rsidRDefault="007B29F6" w:rsidP="00D2510A">
      <w:pPr>
        <w:pStyle w:val="Standardtext"/>
        <w:numPr>
          <w:ilvl w:val="2"/>
          <w:numId w:val="15"/>
        </w:numPr>
        <w:spacing w:before="240" w:after="240"/>
        <w:ind w:left="1560" w:hanging="709"/>
        <w:jc w:val="both"/>
        <w:rPr>
          <w:rFonts w:ascii="Arial" w:hAnsi="Arial" w:cs="Arial"/>
          <w:lang w:val="es-MX"/>
        </w:rPr>
      </w:pPr>
      <w:r w:rsidRPr="007B29F6">
        <w:rPr>
          <w:rFonts w:ascii="Arial" w:hAnsi="Arial" w:cs="Arial"/>
          <w:lang w:val="es-MX"/>
        </w:rPr>
        <w:t>Cumplir con las normas y disposiciones que emita el Consejo Directivo del BCR para el Transfer365, así como con los horarios para el envío de los archivos establecidos en el presente Instructivo.</w:t>
      </w:r>
    </w:p>
    <w:p w14:paraId="6C0A43C9" w14:textId="13DD6664" w:rsidR="001E6D13" w:rsidRPr="00BE5FA7" w:rsidRDefault="0017116F" w:rsidP="00D2510A">
      <w:pPr>
        <w:pStyle w:val="Standardtext"/>
        <w:numPr>
          <w:ilvl w:val="2"/>
          <w:numId w:val="15"/>
        </w:numPr>
        <w:spacing w:before="240" w:after="240"/>
        <w:ind w:left="1560" w:hanging="709"/>
        <w:jc w:val="both"/>
        <w:rPr>
          <w:rFonts w:ascii="Arial" w:hAnsi="Arial" w:cs="Arial"/>
          <w:lang w:val="es-MX"/>
        </w:rPr>
      </w:pPr>
      <w:r w:rsidRPr="0017116F">
        <w:rPr>
          <w:rFonts w:ascii="Arial" w:hAnsi="Arial" w:cs="Arial"/>
          <w:lang w:val="es-MX"/>
        </w:rPr>
        <w:t>Implementar normativas internas que garanticen el cumplimiento de las medidas tecnológicas y de seguridad necesarias para garantizar la integridad, confidencialidad y disponibilidad de los datos contenid</w:t>
      </w:r>
      <w:r w:rsidR="00EB68BE">
        <w:rPr>
          <w:rFonts w:ascii="Arial" w:hAnsi="Arial" w:cs="Arial"/>
          <w:lang w:val="es-MX"/>
        </w:rPr>
        <w:t>os</w:t>
      </w:r>
      <w:r w:rsidRPr="0017116F">
        <w:rPr>
          <w:rFonts w:ascii="Arial" w:hAnsi="Arial" w:cs="Arial"/>
          <w:lang w:val="es-MX"/>
        </w:rPr>
        <w:t xml:space="preserve"> en los archivos que reciban y procesen.</w:t>
      </w:r>
    </w:p>
    <w:p w14:paraId="45271725" w14:textId="5EB169EA" w:rsidR="001E6D13" w:rsidRPr="00BE5FA7" w:rsidRDefault="00EF771C" w:rsidP="00D2510A">
      <w:pPr>
        <w:pStyle w:val="Standardtext"/>
        <w:numPr>
          <w:ilvl w:val="2"/>
          <w:numId w:val="15"/>
        </w:numPr>
        <w:spacing w:before="240" w:after="240"/>
        <w:ind w:left="1560" w:hanging="709"/>
        <w:jc w:val="both"/>
        <w:rPr>
          <w:rFonts w:ascii="Arial" w:hAnsi="Arial" w:cs="Arial"/>
          <w:lang w:val="es-MX"/>
        </w:rPr>
      </w:pPr>
      <w:r w:rsidRPr="00EF771C">
        <w:rPr>
          <w:rFonts w:ascii="Arial" w:hAnsi="Arial" w:cs="Arial"/>
          <w:lang w:val="es-MX"/>
        </w:rPr>
        <w:lastRenderedPageBreak/>
        <w:t>Garantizar la integridad de las transferencias de fondos remitidas al Transfer365, así como la estructura de los archivos, de acuerdo con lo establecido en los documentos técnicos del Transfer365.</w:t>
      </w:r>
    </w:p>
    <w:p w14:paraId="07AFCBE6" w14:textId="254DFA75" w:rsidR="001E6D13" w:rsidRPr="00BE5FA7" w:rsidRDefault="00883857" w:rsidP="00D2510A">
      <w:pPr>
        <w:pStyle w:val="Standardtext"/>
        <w:numPr>
          <w:ilvl w:val="2"/>
          <w:numId w:val="15"/>
        </w:numPr>
        <w:spacing w:before="240" w:after="240"/>
        <w:ind w:left="1560" w:hanging="709"/>
        <w:jc w:val="both"/>
        <w:rPr>
          <w:rFonts w:ascii="Arial" w:hAnsi="Arial" w:cs="Arial"/>
          <w:lang w:val="es-MX"/>
        </w:rPr>
      </w:pPr>
      <w:bookmarkStart w:id="67" w:name="_Toc5699694"/>
      <w:r w:rsidRPr="00883857">
        <w:rPr>
          <w:rFonts w:ascii="Arial" w:hAnsi="Arial" w:cs="Arial"/>
          <w:lang w:val="es-MX"/>
        </w:rPr>
        <w:t>Responder por la actuación de sus usuarios en el Transfer365, en lo relacionado a los procesos normados en el presente Instructivo.</w:t>
      </w:r>
    </w:p>
    <w:p w14:paraId="2560CC70" w14:textId="2FADBF87" w:rsidR="001E6D13" w:rsidRPr="00BE5FA7" w:rsidRDefault="00C55792" w:rsidP="00D2510A">
      <w:pPr>
        <w:pStyle w:val="Standardtext"/>
        <w:numPr>
          <w:ilvl w:val="2"/>
          <w:numId w:val="15"/>
        </w:numPr>
        <w:spacing w:before="240" w:after="240"/>
        <w:ind w:left="1560" w:hanging="709"/>
        <w:jc w:val="both"/>
        <w:rPr>
          <w:rFonts w:ascii="Arial" w:hAnsi="Arial" w:cs="Arial"/>
          <w:lang w:val="es-MX"/>
        </w:rPr>
      </w:pPr>
      <w:bookmarkStart w:id="68" w:name="_Toc5699695"/>
      <w:bookmarkEnd w:id="67"/>
      <w:r w:rsidRPr="00C55792">
        <w:rPr>
          <w:rFonts w:ascii="Arial" w:hAnsi="Arial" w:cs="Arial"/>
          <w:lang w:val="es-MX"/>
        </w:rPr>
        <w:t>Notificar al DPV con al menos tres días hábiles de anticipación, el cambio en los equipos de sus usuarios que se interconectan con el Transfer365, a efecto de que se otorguen los accesos y permisos en el Sistema y comunicación de los equipos.</w:t>
      </w:r>
    </w:p>
    <w:p w14:paraId="0D8FA7AD" w14:textId="37997689" w:rsidR="001E6D13" w:rsidRPr="00BE5FA7" w:rsidRDefault="00624DBB" w:rsidP="00D2510A">
      <w:pPr>
        <w:pStyle w:val="Standardtext"/>
        <w:numPr>
          <w:ilvl w:val="2"/>
          <w:numId w:val="15"/>
        </w:numPr>
        <w:spacing w:before="240" w:after="240"/>
        <w:ind w:left="1560" w:hanging="709"/>
        <w:jc w:val="both"/>
        <w:rPr>
          <w:rFonts w:ascii="Arial" w:hAnsi="Arial" w:cs="Arial"/>
          <w:lang w:val="es-MX"/>
        </w:rPr>
      </w:pPr>
      <w:bookmarkStart w:id="69" w:name="_Toc5699700"/>
      <w:bookmarkEnd w:id="68"/>
      <w:r w:rsidRPr="00624DBB">
        <w:rPr>
          <w:rFonts w:ascii="Arial" w:hAnsi="Arial" w:cs="Arial"/>
          <w:lang w:val="es-MX"/>
        </w:rPr>
        <w:t>Contar con planes de contingencias que le permitan asegurar la continuidad y el adecuado funcionamiento del Transfer365; los cuales deberán ser comunicados al DPV para su posterior envío a la Unidad de Vigilancia de Sistemas de Pagos</w:t>
      </w:r>
      <w:r w:rsidR="00EB68BE">
        <w:rPr>
          <w:rFonts w:ascii="Arial" w:hAnsi="Arial" w:cs="Arial"/>
          <w:lang w:val="es-MX"/>
        </w:rPr>
        <w:t>,</w:t>
      </w:r>
      <w:r w:rsidRPr="00624DBB">
        <w:rPr>
          <w:rFonts w:ascii="Arial" w:hAnsi="Arial" w:cs="Arial"/>
          <w:lang w:val="es-MX"/>
        </w:rPr>
        <w:t xml:space="preserve"> al menos una vez al año</w:t>
      </w:r>
      <w:r w:rsidR="003C7C4B">
        <w:rPr>
          <w:rFonts w:ascii="Arial" w:hAnsi="Arial" w:cs="Arial"/>
          <w:lang w:val="es-MX"/>
        </w:rPr>
        <w:t>,</w:t>
      </w:r>
      <w:r w:rsidRPr="00624DBB">
        <w:rPr>
          <w:rFonts w:ascii="Arial" w:hAnsi="Arial" w:cs="Arial"/>
          <w:lang w:val="es-MX"/>
        </w:rPr>
        <w:t xml:space="preserve"> e incluir la carga y descarga de los Archivos de Transferencias de Crédito de su sistema interno, al Sistema del BCR (Módulo PO). En caso de modificaciones en los planes de contingencia, los </w:t>
      </w:r>
      <w:r w:rsidR="00EB68BE">
        <w:rPr>
          <w:rFonts w:ascii="Arial" w:hAnsi="Arial" w:cs="Arial"/>
          <w:lang w:val="es-MX"/>
        </w:rPr>
        <w:t>Participante</w:t>
      </w:r>
      <w:r w:rsidRPr="00624DBB">
        <w:rPr>
          <w:rFonts w:ascii="Arial" w:hAnsi="Arial" w:cs="Arial"/>
          <w:lang w:val="es-MX"/>
        </w:rPr>
        <w:t>s deberán notificar al DPV en un máximo de 5 días hábiles posteriores a su definición.</w:t>
      </w:r>
    </w:p>
    <w:p w14:paraId="5B205A28" w14:textId="2A831AEF" w:rsidR="001E6D13" w:rsidRPr="00BE5FA7" w:rsidRDefault="008729C2" w:rsidP="00D2510A">
      <w:pPr>
        <w:pStyle w:val="Standardtext"/>
        <w:numPr>
          <w:ilvl w:val="2"/>
          <w:numId w:val="15"/>
        </w:numPr>
        <w:spacing w:before="240" w:after="240"/>
        <w:ind w:left="1560" w:hanging="709"/>
        <w:jc w:val="both"/>
        <w:rPr>
          <w:rFonts w:ascii="Arial" w:hAnsi="Arial" w:cs="Arial"/>
          <w:lang w:val="es-MX"/>
        </w:rPr>
      </w:pPr>
      <w:r w:rsidRPr="008729C2">
        <w:rPr>
          <w:rFonts w:ascii="Arial" w:hAnsi="Arial" w:cs="Arial"/>
          <w:lang w:val="es-MX"/>
        </w:rPr>
        <w:t xml:space="preserve">Corregir en un plazo máximo de 30 días calendarios posteriores, las fallas detectadas en sus sistemas, para garantizar el correcto funcionamiento y reducir el impacto asociado a dichas fallas en el Transfer365; sin perjuicio de iniciar </w:t>
      </w:r>
      <w:r w:rsidR="00EB68BE">
        <w:rPr>
          <w:rFonts w:ascii="Arial" w:hAnsi="Arial" w:cs="Arial"/>
          <w:lang w:val="es-MX"/>
        </w:rPr>
        <w:t xml:space="preserve">un </w:t>
      </w:r>
      <w:r w:rsidRPr="008729C2">
        <w:rPr>
          <w:rFonts w:ascii="Arial" w:hAnsi="Arial" w:cs="Arial"/>
          <w:lang w:val="es-MX"/>
        </w:rPr>
        <w:t>procedimiento administrativo sancionador</w:t>
      </w:r>
      <w:r w:rsidR="00EB68BE">
        <w:rPr>
          <w:rFonts w:ascii="Arial" w:hAnsi="Arial" w:cs="Arial"/>
          <w:lang w:val="es-MX"/>
        </w:rPr>
        <w:t>,</w:t>
      </w:r>
      <w:r w:rsidRPr="008729C2">
        <w:rPr>
          <w:rFonts w:ascii="Arial" w:hAnsi="Arial" w:cs="Arial"/>
          <w:lang w:val="es-MX"/>
        </w:rPr>
        <w:t xml:space="preserve"> si fuere el caso. Las correcciones deberán ser comunicadas al DPV para su posterior envío a la Unidad de Vigilancia de Sistemas de Pagos, en un máximo de 5 días hábiles una vez ejecutadas. En el caso que la subsanación de una falla requiera un plazo mayor al definido, deberán enviar solicitud de reconsideración al </w:t>
      </w:r>
      <w:r w:rsidR="00AA54FD">
        <w:rPr>
          <w:rFonts w:ascii="Arial" w:hAnsi="Arial" w:cs="Arial"/>
          <w:lang w:val="es-MX"/>
        </w:rPr>
        <w:t xml:space="preserve">jefe del </w:t>
      </w:r>
      <w:r w:rsidRPr="008729C2">
        <w:rPr>
          <w:rFonts w:ascii="Arial" w:hAnsi="Arial" w:cs="Arial"/>
          <w:lang w:val="es-MX"/>
        </w:rPr>
        <w:t>DPV con las justificaciones correspondientes</w:t>
      </w:r>
      <w:r w:rsidR="00EB68BE">
        <w:rPr>
          <w:rFonts w:ascii="Arial" w:hAnsi="Arial" w:cs="Arial"/>
          <w:lang w:val="es-MX"/>
        </w:rPr>
        <w:t>.</w:t>
      </w:r>
    </w:p>
    <w:bookmarkEnd w:id="69"/>
    <w:p w14:paraId="032FA739" w14:textId="0BF853E6" w:rsidR="001E6D13" w:rsidRPr="00BE5FA7" w:rsidRDefault="00C50379" w:rsidP="00D2510A">
      <w:pPr>
        <w:pStyle w:val="Standardtext"/>
        <w:numPr>
          <w:ilvl w:val="2"/>
          <w:numId w:val="15"/>
        </w:numPr>
        <w:spacing w:before="240" w:after="240"/>
        <w:ind w:left="1560" w:hanging="709"/>
        <w:jc w:val="both"/>
        <w:rPr>
          <w:rFonts w:ascii="Arial" w:hAnsi="Arial" w:cs="Arial"/>
          <w:lang w:val="es-MX"/>
        </w:rPr>
      </w:pPr>
      <w:r w:rsidRPr="00C50379">
        <w:rPr>
          <w:rFonts w:ascii="Arial" w:hAnsi="Arial" w:cs="Arial"/>
          <w:lang w:val="es-MX"/>
        </w:rPr>
        <w:t xml:space="preserve">Informar al DPV los incumplimientos de otros </w:t>
      </w:r>
      <w:r w:rsidR="00EB68BE">
        <w:rPr>
          <w:rFonts w:ascii="Arial" w:hAnsi="Arial" w:cs="Arial"/>
          <w:lang w:val="es-MX"/>
        </w:rPr>
        <w:t>Participante</w:t>
      </w:r>
      <w:r w:rsidRPr="00C50379">
        <w:rPr>
          <w:rFonts w:ascii="Arial" w:hAnsi="Arial" w:cs="Arial"/>
          <w:lang w:val="es-MX"/>
        </w:rPr>
        <w:t>s, según lo establecido en el presente Instructivo, como máximo en los siguientes cinco días hábiles posteriores al incumplimiento.</w:t>
      </w:r>
    </w:p>
    <w:p w14:paraId="562EDE64" w14:textId="774C6955" w:rsidR="001E6D13" w:rsidRPr="00BE5FA7" w:rsidRDefault="003218C4" w:rsidP="00D2510A">
      <w:pPr>
        <w:pStyle w:val="Standardtext"/>
        <w:numPr>
          <w:ilvl w:val="2"/>
          <w:numId w:val="15"/>
        </w:numPr>
        <w:spacing w:before="240" w:after="240"/>
        <w:ind w:left="1560" w:hanging="709"/>
        <w:jc w:val="both"/>
        <w:rPr>
          <w:rFonts w:ascii="Arial" w:hAnsi="Arial" w:cs="Arial"/>
          <w:lang w:val="es-MX"/>
        </w:rPr>
      </w:pPr>
      <w:r w:rsidRPr="003218C4">
        <w:rPr>
          <w:rFonts w:ascii="Arial" w:hAnsi="Arial" w:cs="Arial"/>
          <w:lang w:val="es-MX"/>
        </w:rPr>
        <w:t>Remitir información que sea solicitada por el Gerente, la Oficialía de Cumplimiento</w:t>
      </w:r>
      <w:r w:rsidR="00F21D32">
        <w:rPr>
          <w:rFonts w:ascii="Arial" w:hAnsi="Arial" w:cs="Arial"/>
          <w:lang w:val="es-MX"/>
        </w:rPr>
        <w:t>, el DPV</w:t>
      </w:r>
      <w:r w:rsidRPr="003218C4">
        <w:rPr>
          <w:rFonts w:ascii="Arial" w:hAnsi="Arial" w:cs="Arial"/>
          <w:lang w:val="es-MX"/>
        </w:rPr>
        <w:t xml:space="preserve"> o la Unidad de Vigilancia de Sistemas de Pagos del BCR, referente a operaciones detectadas en las actividades de monitoreo del Sistema, relacionados con sus obligaciones como sujeto obligado en la prevención de lavado de dinero y activos y financiamiento al terrorismo, o </w:t>
      </w:r>
      <w:r w:rsidRPr="003218C4">
        <w:rPr>
          <w:rFonts w:ascii="Arial" w:hAnsi="Arial" w:cs="Arial"/>
          <w:lang w:val="es-MX"/>
        </w:rPr>
        <w:lastRenderedPageBreak/>
        <w:t>de cumplimiento de normas y procesos, en los plazos que le sean determinado</w:t>
      </w:r>
      <w:r w:rsidR="00F21D32">
        <w:rPr>
          <w:rFonts w:ascii="Arial" w:hAnsi="Arial" w:cs="Arial"/>
          <w:lang w:val="es-MX"/>
        </w:rPr>
        <w:t>s</w:t>
      </w:r>
      <w:r w:rsidRPr="003218C4">
        <w:rPr>
          <w:rFonts w:ascii="Arial" w:hAnsi="Arial" w:cs="Arial"/>
          <w:lang w:val="es-MX"/>
        </w:rPr>
        <w:t>.</w:t>
      </w:r>
    </w:p>
    <w:p w14:paraId="618DF42F" w14:textId="62F41CF3" w:rsidR="00CA46DF" w:rsidRPr="00BE5FA7" w:rsidRDefault="00D410A5" w:rsidP="00D2510A">
      <w:pPr>
        <w:pStyle w:val="Standardtext"/>
        <w:numPr>
          <w:ilvl w:val="2"/>
          <w:numId w:val="15"/>
        </w:numPr>
        <w:spacing w:before="240" w:after="240"/>
        <w:ind w:left="1560" w:hanging="709"/>
        <w:jc w:val="both"/>
        <w:rPr>
          <w:rFonts w:ascii="Arial" w:hAnsi="Arial" w:cs="Arial"/>
          <w:lang w:val="es-MX"/>
        </w:rPr>
      </w:pPr>
      <w:r w:rsidRPr="00D410A5">
        <w:rPr>
          <w:rFonts w:ascii="Arial" w:hAnsi="Arial" w:cs="Arial"/>
          <w:lang w:val="es-MX"/>
        </w:rPr>
        <w:t>Cumplir con los requerimientos legales establecidos a los sujetos obligados de la Ley Contra el Lavado de Dinero y de Activos y de su Reglamento; así como también lo contemplado en el Instructivo para la Prevención, Detección y Control del Lavado de Dinero y de Activos, Financiación del Terrorismo y la Financiación de la Proliferación de Armas de Destrucción Masiva y demás normativa en la materia; así mismo, atender oportunamente a los requerimientos, consultas y demás solicitudes que le realice la Oficialía de Cumplimiento del BCR como parte de la Debida Diligencia y aplicación de la Política Conozca a su Cliente del BCR.</w:t>
      </w:r>
    </w:p>
    <w:p w14:paraId="1F2C6731" w14:textId="0B801B35" w:rsidR="00443EEB" w:rsidRDefault="002D31FA" w:rsidP="00D2510A">
      <w:pPr>
        <w:pStyle w:val="Standardtext"/>
        <w:numPr>
          <w:ilvl w:val="2"/>
          <w:numId w:val="15"/>
        </w:numPr>
        <w:spacing w:before="240" w:after="240"/>
        <w:ind w:left="1560" w:hanging="709"/>
        <w:jc w:val="both"/>
        <w:rPr>
          <w:rFonts w:ascii="Arial" w:hAnsi="Arial" w:cs="Arial"/>
          <w:lang w:val="es-MX"/>
        </w:rPr>
      </w:pPr>
      <w:r w:rsidRPr="002D31FA">
        <w:rPr>
          <w:rFonts w:ascii="Arial" w:hAnsi="Arial" w:cs="Arial"/>
          <w:lang w:val="es-MX"/>
        </w:rPr>
        <w:t>Conservar los registros de datos remitidos a través del Transfer365, por el plazo previsto en la Ley Contra el Lavado de Dinero y de Activos y su Reglamento, así como el Instructivo para la Prevención, Detección y Control del Lavado de Dinero y de Activos, Financiación del Terrorismo y la Financiación de la Proliferación de Armas de Destrucción Masiva.</w:t>
      </w:r>
    </w:p>
    <w:p w14:paraId="4CA085B6" w14:textId="3FF5D9FF" w:rsidR="00F04EC7" w:rsidRDefault="00F04EC7" w:rsidP="00F04EC7">
      <w:pPr>
        <w:pStyle w:val="Standardtext"/>
        <w:numPr>
          <w:ilvl w:val="2"/>
          <w:numId w:val="15"/>
        </w:numPr>
        <w:spacing w:before="240" w:after="240"/>
        <w:ind w:left="1560" w:hanging="709"/>
        <w:jc w:val="both"/>
        <w:rPr>
          <w:rFonts w:ascii="Arial" w:hAnsi="Arial" w:cs="Arial"/>
          <w:lang w:val="es-MX"/>
        </w:rPr>
      </w:pPr>
      <w:r w:rsidRPr="00F04EC7">
        <w:rPr>
          <w:rFonts w:ascii="Arial" w:hAnsi="Arial" w:cs="Arial"/>
          <w:lang w:val="es-MX"/>
        </w:rPr>
        <w:t>Definir los mecanismos y procedimientos para atender los casos de reclamos por parte de los originadores y beneficiarios finales, los cuales deben ser remitidos al DPV para su posterior envío a la Unidad de Vigilancia de Sistemas de Pagos en un plazo máximo de 30 días calendario posterior a la firma del contrato, a fin de que estos sean verificados y analizados. Así mismo, contar con las condiciones, personal e infraestructura necesarios que le permitan dar atención directa e inmediata a todo lo relacionado con el servicio del Tran</w:t>
      </w:r>
      <w:r w:rsidR="00F42142">
        <w:rPr>
          <w:rFonts w:ascii="Arial" w:hAnsi="Arial" w:cs="Arial"/>
          <w:lang w:val="es-MX"/>
        </w:rPr>
        <w:t>s</w:t>
      </w:r>
      <w:r w:rsidRPr="00F04EC7">
        <w:rPr>
          <w:rFonts w:ascii="Arial" w:hAnsi="Arial" w:cs="Arial"/>
          <w:lang w:val="es-MX"/>
        </w:rPr>
        <w:t>fer365.</w:t>
      </w:r>
    </w:p>
    <w:p w14:paraId="5740875E" w14:textId="517884E7" w:rsidR="00F04EC7" w:rsidRPr="00BE5FA7" w:rsidRDefault="00F04EC7" w:rsidP="00F04EC7">
      <w:pPr>
        <w:pStyle w:val="Standardtext"/>
        <w:numPr>
          <w:ilvl w:val="2"/>
          <w:numId w:val="15"/>
        </w:numPr>
        <w:spacing w:before="240" w:after="240"/>
        <w:ind w:left="1560" w:hanging="709"/>
        <w:jc w:val="both"/>
        <w:rPr>
          <w:rFonts w:ascii="Arial" w:hAnsi="Arial" w:cs="Arial"/>
          <w:lang w:val="es-MX"/>
        </w:rPr>
      </w:pPr>
      <w:r w:rsidRPr="00F04EC7">
        <w:rPr>
          <w:rFonts w:ascii="Arial" w:hAnsi="Arial" w:cs="Arial"/>
          <w:lang w:val="es-MX"/>
        </w:rPr>
        <w:t xml:space="preserve">Garantizar el correcto funcionamiento del Sistema Transfer365 por medio de todos sus canales electrónicos y sucursales y comunicar a través de correo electrónico a la jefatura del DPV con copia al correo </w:t>
      </w:r>
      <w:r w:rsidRPr="00F04EC7">
        <w:rPr>
          <w:rFonts w:ascii="Arial" w:hAnsi="Arial" w:cs="Arial"/>
          <w:b/>
          <w:bCs/>
          <w:lang w:val="es-MX"/>
        </w:rPr>
        <w:t>Transfer365_BCR@bcr.gob.sv</w:t>
      </w:r>
      <w:r w:rsidRPr="00F04EC7">
        <w:rPr>
          <w:rFonts w:ascii="Arial" w:hAnsi="Arial" w:cs="Arial"/>
          <w:lang w:val="es-MX"/>
        </w:rPr>
        <w:t>, en un máximo de 30 minutos, posterior a que se presente(n) la(s) falla(s) técnica(s) que dificulten su operación incluyendo el tiempo estimado para su recuperación. El DPV compartirá dicha comunicación inmediatamente a la Unidad de Vigilancia de Sistemas de Pagos.</w:t>
      </w:r>
    </w:p>
    <w:p w14:paraId="30479494" w14:textId="17EE2DB8" w:rsidR="00A11A17" w:rsidRDefault="00E8083A" w:rsidP="00D2510A">
      <w:pPr>
        <w:pStyle w:val="Standardtext"/>
        <w:numPr>
          <w:ilvl w:val="2"/>
          <w:numId w:val="15"/>
        </w:numPr>
        <w:spacing w:before="240" w:after="240"/>
        <w:ind w:left="1560" w:hanging="709"/>
        <w:jc w:val="both"/>
        <w:rPr>
          <w:rFonts w:ascii="Arial" w:hAnsi="Arial" w:cs="Arial"/>
          <w:lang w:val="es-MX"/>
        </w:rPr>
      </w:pPr>
      <w:bookmarkStart w:id="70" w:name="_Hlk53472903"/>
      <w:r w:rsidRPr="00E8083A">
        <w:rPr>
          <w:rFonts w:ascii="Arial" w:hAnsi="Arial" w:cs="Arial"/>
          <w:lang w:val="es-MX"/>
        </w:rPr>
        <w:t>Promover los servicios del Transfer365 a todos sus clientes, brindando las facilidades para el acceso al mismo</w:t>
      </w:r>
      <w:r w:rsidR="00F21D32">
        <w:rPr>
          <w:rFonts w:ascii="Arial" w:hAnsi="Arial" w:cs="Arial"/>
          <w:lang w:val="es-MX"/>
        </w:rPr>
        <w:t>,</w:t>
      </w:r>
      <w:r w:rsidRPr="00E8083A">
        <w:rPr>
          <w:rFonts w:ascii="Arial" w:hAnsi="Arial" w:cs="Arial"/>
          <w:lang w:val="es-MX"/>
        </w:rPr>
        <w:t xml:space="preserve"> en todos sus canales electrónicos y sucursales.</w:t>
      </w:r>
    </w:p>
    <w:p w14:paraId="7ABD87B5" w14:textId="540C366B" w:rsidR="00F04EC7" w:rsidRDefault="00F04EC7" w:rsidP="00D2510A">
      <w:pPr>
        <w:pStyle w:val="Standardtext"/>
        <w:numPr>
          <w:ilvl w:val="2"/>
          <w:numId w:val="15"/>
        </w:numPr>
        <w:spacing w:before="240" w:after="240"/>
        <w:ind w:left="1560" w:hanging="709"/>
        <w:jc w:val="both"/>
        <w:rPr>
          <w:rFonts w:ascii="Arial" w:hAnsi="Arial" w:cs="Arial"/>
          <w:lang w:val="es-MX"/>
        </w:rPr>
      </w:pPr>
      <w:r w:rsidRPr="00F04EC7">
        <w:rPr>
          <w:rFonts w:ascii="Arial" w:hAnsi="Arial" w:cs="Arial"/>
          <w:lang w:val="es-MX"/>
        </w:rPr>
        <w:lastRenderedPageBreak/>
        <w:t>Colocar en forma visible y de fácil acceso en sus canales electrónicos la opción del Transfer365 para la realización de las operaciones, detallando que es un servicio 24/7, gratuito y con liquidación inmediata, de acuerdo con los lineamientos de formato que el BCR establezca y sea informado a los Participantes.</w:t>
      </w:r>
    </w:p>
    <w:p w14:paraId="5E7F60C4" w14:textId="7AD64763" w:rsidR="009333BA" w:rsidRDefault="008D20AD" w:rsidP="00D2510A">
      <w:pPr>
        <w:pStyle w:val="Standardtext"/>
        <w:numPr>
          <w:ilvl w:val="2"/>
          <w:numId w:val="15"/>
        </w:numPr>
        <w:spacing w:before="240" w:after="240"/>
        <w:ind w:left="1560" w:hanging="709"/>
        <w:jc w:val="both"/>
        <w:rPr>
          <w:rFonts w:ascii="Arial" w:hAnsi="Arial" w:cs="Arial"/>
          <w:lang w:val="es-MX"/>
        </w:rPr>
      </w:pPr>
      <w:r w:rsidRPr="008D20AD">
        <w:rPr>
          <w:rFonts w:ascii="Arial" w:hAnsi="Arial" w:cs="Arial"/>
          <w:lang w:val="es-MX"/>
        </w:rPr>
        <w:t>Garantizar el funcionamiento del Transfer365 en los horarios establecidos en el numeral 5.5.1</w:t>
      </w:r>
      <w:r w:rsidR="00A766FF">
        <w:rPr>
          <w:rFonts w:ascii="Arial" w:hAnsi="Arial" w:cs="Arial"/>
          <w:lang w:val="es-MX"/>
        </w:rPr>
        <w:t>.</w:t>
      </w:r>
    </w:p>
    <w:p w14:paraId="7E32C55B" w14:textId="265F5139" w:rsidR="009112E1" w:rsidRPr="00C964FB" w:rsidRDefault="00897122" w:rsidP="00D2510A">
      <w:pPr>
        <w:pStyle w:val="Standardtext"/>
        <w:numPr>
          <w:ilvl w:val="2"/>
          <w:numId w:val="15"/>
        </w:numPr>
        <w:spacing w:before="240" w:after="240"/>
        <w:ind w:left="1560" w:hanging="709"/>
        <w:jc w:val="both"/>
        <w:rPr>
          <w:rFonts w:ascii="Arial" w:hAnsi="Arial" w:cs="Arial"/>
          <w:b/>
          <w:lang w:val="es-MX"/>
        </w:rPr>
      </w:pPr>
      <w:bookmarkStart w:id="71" w:name="_Toc5699703"/>
      <w:bookmarkEnd w:id="70"/>
      <w:r w:rsidRPr="00C964FB">
        <w:rPr>
          <w:rFonts w:ascii="Arial" w:hAnsi="Arial" w:cs="Arial"/>
          <w:b/>
          <w:lang w:val="es-MX"/>
        </w:rPr>
        <w:t xml:space="preserve">Obligaciones del </w:t>
      </w:r>
      <w:r w:rsidR="00EB68BE" w:rsidRPr="00C964FB">
        <w:rPr>
          <w:rFonts w:ascii="Arial" w:hAnsi="Arial" w:cs="Arial"/>
          <w:b/>
          <w:lang w:val="es-MX"/>
        </w:rPr>
        <w:t>Participante</w:t>
      </w:r>
      <w:r w:rsidRPr="00C964FB">
        <w:rPr>
          <w:rFonts w:ascii="Arial" w:hAnsi="Arial" w:cs="Arial"/>
          <w:b/>
          <w:lang w:val="es-MX"/>
        </w:rPr>
        <w:t xml:space="preserve"> Origen </w:t>
      </w:r>
      <w:bookmarkStart w:id="72" w:name="_Toc5699705"/>
      <w:bookmarkStart w:id="73" w:name="_Toc5699704"/>
      <w:bookmarkEnd w:id="71"/>
    </w:p>
    <w:bookmarkEnd w:id="72"/>
    <w:p w14:paraId="7823D202" w14:textId="0B1B33CA" w:rsidR="00993C69" w:rsidRPr="00BE5FA7" w:rsidRDefault="00A644F9" w:rsidP="00D2510A">
      <w:pPr>
        <w:pStyle w:val="Standardtext"/>
        <w:numPr>
          <w:ilvl w:val="3"/>
          <w:numId w:val="15"/>
        </w:numPr>
        <w:spacing w:before="240" w:after="240"/>
        <w:ind w:left="2552" w:hanging="992"/>
        <w:jc w:val="both"/>
        <w:rPr>
          <w:rFonts w:ascii="Arial" w:hAnsi="Arial" w:cs="Arial"/>
          <w:lang w:val="es-MX"/>
        </w:rPr>
      </w:pPr>
      <w:r w:rsidRPr="00A644F9">
        <w:rPr>
          <w:rFonts w:ascii="Arial" w:hAnsi="Arial" w:cs="Arial"/>
          <w:lang w:val="es-MX"/>
        </w:rPr>
        <w:t xml:space="preserve">Asegurar la calidad de la información remitida en el Transfer365 y de las obligaciones financieras que se deriven de su participación, debiendo estos responder ante los beneficiarios finales por las operaciones que se realicen a través del Transfer365, así como asumir la responsabilidad por errores derivadas de las mismas, atribuibles al </w:t>
      </w:r>
      <w:r w:rsidR="00EB68BE">
        <w:rPr>
          <w:rFonts w:ascii="Arial" w:hAnsi="Arial" w:cs="Arial"/>
          <w:lang w:val="es-MX"/>
        </w:rPr>
        <w:t>Participante</w:t>
      </w:r>
      <w:r w:rsidRPr="00A644F9">
        <w:rPr>
          <w:rFonts w:ascii="Arial" w:hAnsi="Arial" w:cs="Arial"/>
          <w:lang w:val="es-MX"/>
        </w:rPr>
        <w:t xml:space="preserve"> Origen.</w:t>
      </w:r>
    </w:p>
    <w:p w14:paraId="5EA2550B" w14:textId="77777777" w:rsidR="001058DE" w:rsidRPr="001058DE" w:rsidRDefault="001058DE" w:rsidP="008D267F">
      <w:pPr>
        <w:pStyle w:val="Standardtext"/>
        <w:numPr>
          <w:ilvl w:val="3"/>
          <w:numId w:val="15"/>
        </w:numPr>
        <w:spacing w:before="120" w:after="120"/>
        <w:ind w:left="2551" w:hanging="992"/>
        <w:jc w:val="both"/>
        <w:rPr>
          <w:rFonts w:ascii="Arial" w:hAnsi="Arial" w:cs="Arial"/>
          <w:lang w:val="es-MX"/>
        </w:rPr>
      </w:pPr>
      <w:bookmarkStart w:id="74" w:name="_Toc5699706"/>
      <w:bookmarkEnd w:id="73"/>
      <w:r w:rsidRPr="001058DE">
        <w:rPr>
          <w:rFonts w:ascii="Arial" w:hAnsi="Arial" w:cs="Arial"/>
          <w:lang w:val="es-MX"/>
        </w:rPr>
        <w:t>Asignar un número de referencia único a cada una de las transferencias de crédito individuales del lote, el cual deberá ser suministrado al Participante destino, con el propósito de que lo proporcione al beneficiario final ante cualquier reclamo.</w:t>
      </w:r>
    </w:p>
    <w:p w14:paraId="2D79B8B7" w14:textId="161A2187" w:rsidR="000331DC" w:rsidRPr="00BE5FA7" w:rsidRDefault="00384305" w:rsidP="008D267F">
      <w:pPr>
        <w:pStyle w:val="Standardtext"/>
        <w:numPr>
          <w:ilvl w:val="3"/>
          <w:numId w:val="15"/>
        </w:numPr>
        <w:spacing w:before="120" w:after="120"/>
        <w:ind w:left="2551" w:hanging="992"/>
        <w:jc w:val="both"/>
        <w:rPr>
          <w:rFonts w:ascii="Arial" w:hAnsi="Arial" w:cs="Arial"/>
          <w:lang w:val="es-MX"/>
        </w:rPr>
      </w:pPr>
      <w:bookmarkStart w:id="75" w:name="_Toc5699708"/>
      <w:bookmarkEnd w:id="74"/>
      <w:r w:rsidRPr="00384305">
        <w:rPr>
          <w:rFonts w:ascii="Arial" w:hAnsi="Arial" w:cs="Arial"/>
          <w:lang w:val="es-MX"/>
        </w:rPr>
        <w:t xml:space="preserve">Incorporar las cuentas estandarizadas con base al código IBAN para el ordenante y el beneficiario final en cada instrucción de pago, de acuerdo con lo definido en las especificaciones técnicas.  </w:t>
      </w:r>
    </w:p>
    <w:bookmarkEnd w:id="75"/>
    <w:p w14:paraId="28D9862F" w14:textId="45CC6838" w:rsidR="00E85671" w:rsidRPr="00BE5FA7" w:rsidRDefault="008C05AA" w:rsidP="00D2510A">
      <w:pPr>
        <w:pStyle w:val="Standardtext"/>
        <w:numPr>
          <w:ilvl w:val="3"/>
          <w:numId w:val="15"/>
        </w:numPr>
        <w:spacing w:before="240" w:after="240"/>
        <w:ind w:left="2552" w:hanging="992"/>
        <w:jc w:val="both"/>
        <w:rPr>
          <w:rFonts w:ascii="Arial" w:hAnsi="Arial" w:cs="Arial"/>
          <w:lang w:val="es-MX"/>
        </w:rPr>
      </w:pPr>
      <w:r w:rsidRPr="008C05AA">
        <w:rPr>
          <w:rFonts w:ascii="Arial" w:hAnsi="Arial" w:cs="Arial"/>
          <w:lang w:val="es-MX"/>
        </w:rPr>
        <w:t>Asegurarse que cada Ítem o Transferencia de Fondos contenga los siguientes campos:</w:t>
      </w:r>
    </w:p>
    <w:p w14:paraId="77DDF80E" w14:textId="4A55A487" w:rsidR="00E85671" w:rsidRPr="00BE5FA7" w:rsidRDefault="008C3E22" w:rsidP="00D2510A">
      <w:pPr>
        <w:pStyle w:val="Standardtext"/>
        <w:numPr>
          <w:ilvl w:val="4"/>
          <w:numId w:val="15"/>
        </w:numPr>
        <w:spacing w:before="240" w:after="240"/>
        <w:ind w:left="3686" w:hanging="1134"/>
        <w:jc w:val="both"/>
        <w:rPr>
          <w:rFonts w:ascii="Arial" w:hAnsi="Arial" w:cs="Arial"/>
          <w:lang w:val="es-MX"/>
        </w:rPr>
      </w:pPr>
      <w:bookmarkStart w:id="76" w:name="_Toc5699710"/>
      <w:r w:rsidRPr="008C3E22">
        <w:rPr>
          <w:rFonts w:ascii="Arial" w:hAnsi="Arial" w:cs="Arial"/>
          <w:lang w:val="es-MX"/>
        </w:rPr>
        <w:t xml:space="preserve">Nombre y apellido </w:t>
      </w:r>
      <w:r w:rsidR="00F21D32">
        <w:rPr>
          <w:rFonts w:ascii="Arial" w:hAnsi="Arial" w:cs="Arial"/>
          <w:lang w:val="es-MX"/>
        </w:rPr>
        <w:t xml:space="preserve">o razón social o denominación </w:t>
      </w:r>
      <w:r w:rsidRPr="008C3E22">
        <w:rPr>
          <w:rFonts w:ascii="Arial" w:hAnsi="Arial" w:cs="Arial"/>
          <w:lang w:val="es-MX"/>
        </w:rPr>
        <w:t xml:space="preserve">del </w:t>
      </w:r>
      <w:r w:rsidR="00F21D32">
        <w:rPr>
          <w:rFonts w:ascii="Arial" w:hAnsi="Arial" w:cs="Arial"/>
          <w:lang w:val="es-MX"/>
        </w:rPr>
        <w:t>O</w:t>
      </w:r>
      <w:r w:rsidRPr="008C3E22">
        <w:rPr>
          <w:rFonts w:ascii="Arial" w:hAnsi="Arial" w:cs="Arial"/>
          <w:lang w:val="es-MX"/>
        </w:rPr>
        <w:t>rdenante y del Beneficiario</w:t>
      </w:r>
      <w:r w:rsidR="00075B2F">
        <w:rPr>
          <w:rFonts w:ascii="Arial" w:hAnsi="Arial" w:cs="Arial"/>
          <w:lang w:val="es-MX"/>
        </w:rPr>
        <w:t>.</w:t>
      </w:r>
    </w:p>
    <w:p w14:paraId="436472BA" w14:textId="62EF2FEA" w:rsidR="00E85671" w:rsidRDefault="00F934D9" w:rsidP="00D2510A">
      <w:pPr>
        <w:pStyle w:val="Standardtext"/>
        <w:numPr>
          <w:ilvl w:val="4"/>
          <w:numId w:val="15"/>
        </w:numPr>
        <w:spacing w:before="240" w:after="240"/>
        <w:ind w:left="3686" w:hanging="1134"/>
        <w:jc w:val="both"/>
        <w:rPr>
          <w:rFonts w:ascii="Arial" w:hAnsi="Arial" w:cs="Arial"/>
          <w:lang w:val="es-MX"/>
        </w:rPr>
      </w:pPr>
      <w:bookmarkStart w:id="77" w:name="_Toc5699711"/>
      <w:bookmarkEnd w:id="76"/>
      <w:r w:rsidRPr="00F934D9">
        <w:rPr>
          <w:rFonts w:ascii="Arial" w:hAnsi="Arial" w:cs="Arial"/>
          <w:lang w:val="es-MX"/>
        </w:rPr>
        <w:t xml:space="preserve">Número </w:t>
      </w:r>
      <w:r w:rsidR="00B47F47" w:rsidRPr="00B47F47">
        <w:rPr>
          <w:rFonts w:ascii="Arial" w:hAnsi="Arial" w:cs="Arial"/>
          <w:lang w:val="es-MX"/>
        </w:rPr>
        <w:t>de Cuenta Bancaria estandarizada del Ordenante, número de Cuenta Bancaria estandarizada o de celular del Beneficiario, número de préstamo o tarjeta de crédito u otros productos que se incorporen, previa consulta y notificación a los Participantes</w:t>
      </w:r>
      <w:r w:rsidRPr="00F934D9">
        <w:rPr>
          <w:rFonts w:ascii="Arial" w:hAnsi="Arial" w:cs="Arial"/>
          <w:lang w:val="es-MX"/>
        </w:rPr>
        <w:t>.</w:t>
      </w:r>
    </w:p>
    <w:p w14:paraId="0702C609" w14:textId="78F04921" w:rsidR="00D76932" w:rsidRDefault="00DC7CFD" w:rsidP="00545C60">
      <w:pPr>
        <w:pStyle w:val="Standardtext"/>
        <w:numPr>
          <w:ilvl w:val="4"/>
          <w:numId w:val="15"/>
        </w:numPr>
        <w:spacing w:before="120" w:after="120"/>
        <w:ind w:left="3686" w:hanging="1134"/>
        <w:jc w:val="both"/>
        <w:rPr>
          <w:rFonts w:ascii="Arial" w:hAnsi="Arial" w:cs="Arial"/>
          <w:lang w:val="es-MX"/>
        </w:rPr>
      </w:pPr>
      <w:bookmarkStart w:id="78" w:name="_Toc5699712"/>
      <w:bookmarkEnd w:id="77"/>
      <w:r w:rsidRPr="00BE5FA7">
        <w:rPr>
          <w:rFonts w:ascii="Arial" w:hAnsi="Arial" w:cs="Arial"/>
          <w:lang w:val="es-MX"/>
        </w:rPr>
        <w:t xml:space="preserve"> </w:t>
      </w:r>
      <w:r w:rsidR="00944899" w:rsidRPr="00BE5FA7">
        <w:rPr>
          <w:rFonts w:ascii="Arial" w:hAnsi="Arial" w:cs="Arial"/>
          <w:lang w:val="es-MX"/>
        </w:rPr>
        <w:t>Número</w:t>
      </w:r>
      <w:r w:rsidR="00897122" w:rsidRPr="00BE5FA7">
        <w:rPr>
          <w:rFonts w:ascii="Arial" w:hAnsi="Arial" w:cs="Arial"/>
          <w:lang w:val="es-MX"/>
        </w:rPr>
        <w:t xml:space="preserve"> de </w:t>
      </w:r>
      <w:r w:rsidR="00123882" w:rsidRPr="00BE5FA7">
        <w:rPr>
          <w:rFonts w:ascii="Arial" w:hAnsi="Arial" w:cs="Arial"/>
          <w:lang w:val="es-MX"/>
        </w:rPr>
        <w:t>r</w:t>
      </w:r>
      <w:r w:rsidR="00897122" w:rsidRPr="00BE5FA7">
        <w:rPr>
          <w:rFonts w:ascii="Arial" w:hAnsi="Arial" w:cs="Arial"/>
          <w:lang w:val="es-MX"/>
        </w:rPr>
        <w:t>eferenci</w:t>
      </w:r>
      <w:bookmarkEnd w:id="78"/>
      <w:r w:rsidR="00292DD7" w:rsidRPr="00BE5FA7">
        <w:rPr>
          <w:rFonts w:ascii="Arial" w:hAnsi="Arial" w:cs="Arial"/>
          <w:lang w:val="es-MX"/>
        </w:rPr>
        <w:t>a</w:t>
      </w:r>
      <w:r w:rsidR="00944899" w:rsidRPr="00BE5FA7">
        <w:rPr>
          <w:rFonts w:ascii="Arial" w:hAnsi="Arial" w:cs="Arial"/>
          <w:lang w:val="es-MX"/>
        </w:rPr>
        <w:t>,</w:t>
      </w:r>
      <w:r w:rsidR="00897122" w:rsidRPr="00BE5FA7">
        <w:rPr>
          <w:rFonts w:ascii="Arial" w:hAnsi="Arial" w:cs="Arial"/>
          <w:lang w:val="es-MX"/>
        </w:rPr>
        <w:t xml:space="preserve"> </w:t>
      </w:r>
      <w:bookmarkStart w:id="79" w:name="_Toc5699714"/>
      <w:r w:rsidR="00123882" w:rsidRPr="00BE5FA7">
        <w:rPr>
          <w:rFonts w:ascii="Arial" w:hAnsi="Arial" w:cs="Arial"/>
          <w:lang w:val="es-MX"/>
        </w:rPr>
        <w:t>m</w:t>
      </w:r>
      <w:r w:rsidR="00897122" w:rsidRPr="00BE5FA7">
        <w:rPr>
          <w:rFonts w:ascii="Arial" w:hAnsi="Arial" w:cs="Arial"/>
          <w:lang w:val="es-MX"/>
        </w:rPr>
        <w:t>onto</w:t>
      </w:r>
      <w:r w:rsidR="00944899" w:rsidRPr="00BE5FA7">
        <w:rPr>
          <w:rFonts w:ascii="Arial" w:hAnsi="Arial" w:cs="Arial"/>
          <w:lang w:val="es-MX"/>
        </w:rPr>
        <w:t xml:space="preserve"> y concepto </w:t>
      </w:r>
      <w:r w:rsidR="00897122" w:rsidRPr="00BE5FA7">
        <w:rPr>
          <w:rFonts w:ascii="Arial" w:hAnsi="Arial" w:cs="Arial"/>
          <w:lang w:val="es-MX"/>
        </w:rPr>
        <w:t>de</w:t>
      </w:r>
      <w:r w:rsidR="00944899" w:rsidRPr="00BE5FA7">
        <w:rPr>
          <w:rFonts w:ascii="Arial" w:hAnsi="Arial" w:cs="Arial"/>
          <w:lang w:val="es-MX"/>
        </w:rPr>
        <w:t>l</w:t>
      </w:r>
      <w:r w:rsidR="00897122" w:rsidRPr="00BE5FA7">
        <w:rPr>
          <w:rFonts w:ascii="Arial" w:hAnsi="Arial" w:cs="Arial"/>
          <w:lang w:val="es-MX"/>
        </w:rPr>
        <w:t xml:space="preserve"> pago</w:t>
      </w:r>
      <w:bookmarkEnd w:id="79"/>
      <w:r w:rsidR="001431C1">
        <w:rPr>
          <w:rFonts w:ascii="Arial" w:hAnsi="Arial" w:cs="Arial"/>
          <w:lang w:val="es-MX"/>
        </w:rPr>
        <w:t>.</w:t>
      </w:r>
    </w:p>
    <w:p w14:paraId="0AC778E9" w14:textId="2176403D" w:rsidR="00A766FF" w:rsidRDefault="00A766FF" w:rsidP="00A766FF">
      <w:pPr>
        <w:pStyle w:val="Standardtext"/>
        <w:numPr>
          <w:ilvl w:val="3"/>
          <w:numId w:val="15"/>
        </w:numPr>
        <w:spacing w:before="0" w:after="0"/>
        <w:ind w:left="2552" w:hanging="992"/>
        <w:jc w:val="both"/>
        <w:rPr>
          <w:rFonts w:ascii="Arial" w:hAnsi="Arial" w:cs="Arial"/>
          <w:lang w:val="es-MX"/>
        </w:rPr>
      </w:pPr>
      <w:r w:rsidRPr="00A766FF">
        <w:rPr>
          <w:rFonts w:ascii="Arial" w:hAnsi="Arial" w:cs="Arial"/>
          <w:lang w:val="es-MX"/>
        </w:rPr>
        <w:lastRenderedPageBreak/>
        <w:t>Disponer de los fondos en la cuenta de depósito en el BCR, para la liquidación de las instrucciones de pago, cuando estas instrucciones provengan de un ordenante y corresponda al proceso de liquidación continuo; en el caso del proceso de liquidación neto, para la constitución de la reserva de fondos y liquidación cuando su posición neta resultante sea deudora.</w:t>
      </w:r>
    </w:p>
    <w:p w14:paraId="4F61E922" w14:textId="77777777" w:rsidR="008137BD" w:rsidRDefault="008137BD" w:rsidP="008137BD">
      <w:pPr>
        <w:pStyle w:val="Standardtext"/>
        <w:spacing w:before="0" w:after="0"/>
        <w:ind w:left="2552"/>
        <w:jc w:val="both"/>
        <w:rPr>
          <w:rFonts w:ascii="Arial" w:hAnsi="Arial" w:cs="Arial"/>
          <w:lang w:val="es-MX"/>
        </w:rPr>
      </w:pPr>
    </w:p>
    <w:p w14:paraId="55C8F966" w14:textId="4476FFED" w:rsidR="00950517" w:rsidRDefault="008C0456" w:rsidP="00545C60">
      <w:pPr>
        <w:pStyle w:val="Standardtext"/>
        <w:numPr>
          <w:ilvl w:val="3"/>
          <w:numId w:val="15"/>
        </w:numPr>
        <w:spacing w:before="0" w:after="0"/>
        <w:ind w:left="2552" w:hanging="992"/>
        <w:jc w:val="both"/>
        <w:rPr>
          <w:rFonts w:ascii="Arial" w:hAnsi="Arial" w:cs="Arial"/>
          <w:lang w:val="es-MX"/>
        </w:rPr>
      </w:pPr>
      <w:r w:rsidRPr="008C0456">
        <w:rPr>
          <w:rFonts w:ascii="Arial" w:hAnsi="Arial" w:cs="Arial"/>
          <w:lang w:val="es-MX"/>
        </w:rPr>
        <w:t>Notificar al originador si su transferencia de fondos o pago ha sido aprobad</w:t>
      </w:r>
      <w:r w:rsidR="00F21D32">
        <w:rPr>
          <w:rFonts w:ascii="Arial" w:hAnsi="Arial" w:cs="Arial"/>
          <w:lang w:val="es-MX"/>
        </w:rPr>
        <w:t>a</w:t>
      </w:r>
      <w:r w:rsidRPr="008C0456">
        <w:rPr>
          <w:rFonts w:ascii="Arial" w:hAnsi="Arial" w:cs="Arial"/>
          <w:lang w:val="es-MX"/>
        </w:rPr>
        <w:t xml:space="preserve"> o devuelt</w:t>
      </w:r>
      <w:r w:rsidR="00F21D32">
        <w:rPr>
          <w:rFonts w:ascii="Arial" w:hAnsi="Arial" w:cs="Arial"/>
          <w:lang w:val="es-MX"/>
        </w:rPr>
        <w:t>a</w:t>
      </w:r>
      <w:r w:rsidRPr="008C0456">
        <w:rPr>
          <w:rFonts w:ascii="Arial" w:hAnsi="Arial" w:cs="Arial"/>
          <w:lang w:val="es-MX"/>
        </w:rPr>
        <w:t>, una vez reciba el Archivo de Confirmación o Devolución de Transferencia de Crédito</w:t>
      </w:r>
      <w:r w:rsidR="00F21D32">
        <w:rPr>
          <w:rFonts w:ascii="Arial" w:hAnsi="Arial" w:cs="Arial"/>
          <w:lang w:val="es-MX"/>
        </w:rPr>
        <w:t>,</w:t>
      </w:r>
      <w:r w:rsidRPr="008C0456">
        <w:rPr>
          <w:rFonts w:ascii="Arial" w:hAnsi="Arial" w:cs="Arial"/>
          <w:lang w:val="es-MX"/>
        </w:rPr>
        <w:t xml:space="preserve"> en un máximo de </w:t>
      </w:r>
      <w:r w:rsidR="004A2D9F">
        <w:rPr>
          <w:rFonts w:ascii="Arial" w:hAnsi="Arial" w:cs="Arial"/>
          <w:lang w:val="es-MX"/>
        </w:rPr>
        <w:t>2</w:t>
      </w:r>
      <w:r w:rsidRPr="008C0456">
        <w:rPr>
          <w:rFonts w:ascii="Arial" w:hAnsi="Arial" w:cs="Arial"/>
          <w:lang w:val="es-MX"/>
        </w:rPr>
        <w:t xml:space="preserve"> minutos a partir de la recepción de dichos archivos.</w:t>
      </w:r>
    </w:p>
    <w:p w14:paraId="7BA7AC99" w14:textId="77777777" w:rsidR="00094BDB" w:rsidRDefault="00094BDB" w:rsidP="00094BDB">
      <w:pPr>
        <w:pStyle w:val="Prrafodelista"/>
        <w:rPr>
          <w:rFonts w:ascii="Arial" w:hAnsi="Arial" w:cs="Arial"/>
          <w:lang w:val="es-MX"/>
        </w:rPr>
      </w:pPr>
    </w:p>
    <w:p w14:paraId="49DE980F" w14:textId="68F08FAA" w:rsidR="007558DA" w:rsidRDefault="00B81450" w:rsidP="00545C60">
      <w:pPr>
        <w:pStyle w:val="Standardtext"/>
        <w:numPr>
          <w:ilvl w:val="3"/>
          <w:numId w:val="15"/>
        </w:numPr>
        <w:spacing w:before="0" w:after="0"/>
        <w:ind w:left="2552" w:hanging="992"/>
        <w:jc w:val="both"/>
        <w:rPr>
          <w:rFonts w:ascii="Arial" w:hAnsi="Arial" w:cs="Arial"/>
          <w:lang w:val="es-MX"/>
        </w:rPr>
      </w:pPr>
      <w:r w:rsidRPr="00B81450">
        <w:rPr>
          <w:rFonts w:ascii="Arial" w:hAnsi="Arial" w:cs="Arial"/>
          <w:lang w:val="es-MX"/>
        </w:rPr>
        <w:t xml:space="preserve">Retornar los fondos al </w:t>
      </w:r>
      <w:r w:rsidR="00F21D32">
        <w:rPr>
          <w:rFonts w:ascii="Arial" w:hAnsi="Arial" w:cs="Arial"/>
          <w:lang w:val="es-MX"/>
        </w:rPr>
        <w:t>O</w:t>
      </w:r>
      <w:r w:rsidRPr="00B81450">
        <w:rPr>
          <w:rFonts w:ascii="Arial" w:hAnsi="Arial" w:cs="Arial"/>
          <w:lang w:val="es-MX"/>
        </w:rPr>
        <w:t xml:space="preserve">riginador en el caso que su transferencia de fondos o pago haya sido rechazada, en un máximo de </w:t>
      </w:r>
      <w:r w:rsidR="00C017C4">
        <w:rPr>
          <w:rFonts w:ascii="Arial" w:hAnsi="Arial" w:cs="Arial"/>
          <w:lang w:val="es-MX"/>
        </w:rPr>
        <w:t>2</w:t>
      </w:r>
      <w:r w:rsidRPr="00B81450">
        <w:rPr>
          <w:rFonts w:ascii="Arial" w:hAnsi="Arial" w:cs="Arial"/>
          <w:lang w:val="es-MX"/>
        </w:rPr>
        <w:t xml:space="preserve"> minutos, una vez reciba el archivo de devolución o cancelación de transferencia de crédito</w:t>
      </w:r>
      <w:r w:rsidR="006232B0">
        <w:rPr>
          <w:rFonts w:ascii="Arial" w:hAnsi="Arial" w:cs="Arial"/>
          <w:lang w:val="es-MX"/>
        </w:rPr>
        <w:t>,</w:t>
      </w:r>
      <w:r w:rsidR="004353EC">
        <w:rPr>
          <w:rFonts w:ascii="Arial" w:hAnsi="Arial" w:cs="Arial"/>
          <w:lang w:val="es-MX"/>
        </w:rPr>
        <w:t xml:space="preserve"> </w:t>
      </w:r>
      <w:r w:rsidR="006232B0" w:rsidRPr="00916A1E">
        <w:rPr>
          <w:rFonts w:ascii="Arial" w:hAnsi="Arial" w:cs="Arial"/>
          <w:lang w:val="es-MX"/>
        </w:rPr>
        <w:t>notificando la causal de la devolución.</w:t>
      </w:r>
    </w:p>
    <w:p w14:paraId="5D640D3C" w14:textId="77777777" w:rsidR="00A766FF" w:rsidRDefault="00A766FF" w:rsidP="00A766FF">
      <w:pPr>
        <w:pStyle w:val="Prrafodelista"/>
        <w:rPr>
          <w:rFonts w:ascii="Arial" w:hAnsi="Arial" w:cs="Arial"/>
          <w:lang w:val="es-MX"/>
        </w:rPr>
      </w:pPr>
    </w:p>
    <w:p w14:paraId="4775D90D" w14:textId="19B76761" w:rsidR="007D5CBC" w:rsidRPr="00BE5FA7" w:rsidRDefault="00897122" w:rsidP="00545C60">
      <w:pPr>
        <w:pStyle w:val="Standardtext"/>
        <w:numPr>
          <w:ilvl w:val="2"/>
          <w:numId w:val="15"/>
        </w:numPr>
        <w:spacing w:before="0" w:after="0"/>
        <w:ind w:left="1560" w:hanging="709"/>
        <w:jc w:val="both"/>
        <w:rPr>
          <w:rFonts w:ascii="Arial" w:hAnsi="Arial" w:cs="Arial"/>
          <w:b/>
          <w:lang w:val="es-MX"/>
        </w:rPr>
      </w:pPr>
      <w:bookmarkStart w:id="80" w:name="_Toc5699715"/>
      <w:r w:rsidRPr="00BE5FA7">
        <w:rPr>
          <w:rFonts w:ascii="Arial" w:hAnsi="Arial" w:cs="Arial"/>
          <w:b/>
          <w:lang w:val="es-MX"/>
        </w:rPr>
        <w:t xml:space="preserve">Obligaciones del </w:t>
      </w:r>
      <w:r w:rsidR="00EB68BE">
        <w:rPr>
          <w:rFonts w:ascii="Arial" w:hAnsi="Arial" w:cs="Arial"/>
          <w:b/>
          <w:lang w:val="es-MX"/>
        </w:rPr>
        <w:t>Participante</w:t>
      </w:r>
      <w:r w:rsidRPr="00BE5FA7">
        <w:rPr>
          <w:rFonts w:ascii="Arial" w:hAnsi="Arial" w:cs="Arial"/>
          <w:b/>
          <w:lang w:val="es-MX"/>
        </w:rPr>
        <w:t xml:space="preserve"> Destino </w:t>
      </w:r>
      <w:bookmarkStart w:id="81" w:name="_Toc5699716"/>
      <w:bookmarkEnd w:id="80"/>
    </w:p>
    <w:p w14:paraId="63CF2A8B" w14:textId="0D262DB2" w:rsidR="000331DC" w:rsidRPr="00BE5FA7" w:rsidRDefault="00744310" w:rsidP="00545C60">
      <w:pPr>
        <w:pStyle w:val="Standardtext"/>
        <w:numPr>
          <w:ilvl w:val="3"/>
          <w:numId w:val="15"/>
        </w:numPr>
        <w:spacing w:before="120" w:after="120"/>
        <w:ind w:left="2551" w:hanging="992"/>
        <w:jc w:val="both"/>
        <w:rPr>
          <w:rFonts w:ascii="Arial" w:hAnsi="Arial" w:cs="Arial"/>
          <w:lang w:val="es-MX"/>
        </w:rPr>
      </w:pPr>
      <w:bookmarkStart w:id="82" w:name="_Toc5699717"/>
      <w:bookmarkEnd w:id="81"/>
      <w:r w:rsidRPr="00744310">
        <w:rPr>
          <w:rFonts w:ascii="Arial" w:hAnsi="Arial" w:cs="Arial"/>
          <w:lang w:val="es-MX"/>
        </w:rPr>
        <w:t>Contar con el equipamiento y tecnología que permita el correcto procesamiento de los Archivos de Transferencias de Créditos y de Verificación de Cuentas remitidos por el Transfer365.</w:t>
      </w:r>
    </w:p>
    <w:p w14:paraId="5212DC4F" w14:textId="7F03A202" w:rsidR="00545C60" w:rsidRDefault="00753FA8" w:rsidP="00545C60">
      <w:pPr>
        <w:pStyle w:val="Standardtext"/>
        <w:numPr>
          <w:ilvl w:val="3"/>
          <w:numId w:val="15"/>
        </w:numPr>
        <w:spacing w:before="120" w:after="120"/>
        <w:ind w:left="2551" w:hanging="992"/>
        <w:jc w:val="both"/>
        <w:rPr>
          <w:rFonts w:ascii="Arial" w:hAnsi="Arial" w:cs="Arial"/>
          <w:lang w:val="es-MX"/>
        </w:rPr>
      </w:pPr>
      <w:bookmarkStart w:id="83" w:name="_Toc5699720"/>
      <w:bookmarkEnd w:id="82"/>
      <w:r w:rsidRPr="00753FA8">
        <w:rPr>
          <w:rFonts w:ascii="Arial" w:hAnsi="Arial" w:cs="Arial"/>
          <w:lang w:val="es-MX"/>
        </w:rPr>
        <w:t>Acreditar en la cuenta del Beneficiario Final los fondos depositados a su favor</w:t>
      </w:r>
      <w:r w:rsidR="008F056D">
        <w:rPr>
          <w:rFonts w:ascii="Arial" w:hAnsi="Arial" w:cs="Arial"/>
          <w:lang w:val="es-MX"/>
        </w:rPr>
        <w:t>,</w:t>
      </w:r>
      <w:r w:rsidRPr="00753FA8">
        <w:rPr>
          <w:rFonts w:ascii="Arial" w:hAnsi="Arial" w:cs="Arial"/>
          <w:lang w:val="es-MX"/>
        </w:rPr>
        <w:t xml:space="preserve"> con un máximo de </w:t>
      </w:r>
      <w:r w:rsidR="00F710F9">
        <w:rPr>
          <w:rFonts w:ascii="Arial" w:hAnsi="Arial" w:cs="Arial"/>
          <w:lang w:val="es-MX"/>
        </w:rPr>
        <w:t>3</w:t>
      </w:r>
      <w:r w:rsidRPr="00753FA8">
        <w:rPr>
          <w:rFonts w:ascii="Arial" w:hAnsi="Arial" w:cs="Arial"/>
          <w:lang w:val="es-MX"/>
        </w:rPr>
        <w:t xml:space="preserve"> minutos</w:t>
      </w:r>
      <w:r w:rsidR="008F056D">
        <w:rPr>
          <w:rFonts w:ascii="Arial" w:hAnsi="Arial" w:cs="Arial"/>
          <w:lang w:val="es-MX"/>
        </w:rPr>
        <w:t>,</w:t>
      </w:r>
      <w:r w:rsidRPr="00753FA8">
        <w:rPr>
          <w:rFonts w:ascii="Arial" w:hAnsi="Arial" w:cs="Arial"/>
          <w:lang w:val="es-MX"/>
        </w:rPr>
        <w:t xml:space="preserve"> posterior a recibir el Archivo de Transferencia de Crédito por el Transfer365, salvo en el caso de aquellas operaciones de pagos de préstamos y tarjetas de crédito, las cuales serán aplicadas de acuerdo con los procesos internos de cada </w:t>
      </w:r>
      <w:r w:rsidR="00EB68BE">
        <w:rPr>
          <w:rFonts w:ascii="Arial" w:hAnsi="Arial" w:cs="Arial"/>
          <w:lang w:val="es-MX"/>
        </w:rPr>
        <w:t>Participante</w:t>
      </w:r>
      <w:r w:rsidRPr="00753FA8">
        <w:rPr>
          <w:rFonts w:ascii="Arial" w:hAnsi="Arial" w:cs="Arial"/>
          <w:lang w:val="es-MX"/>
        </w:rPr>
        <w:t>, siempre y cuando se garantice que la aplicación se realice con la misma fecha en la que se ordenó el pago.</w:t>
      </w:r>
    </w:p>
    <w:p w14:paraId="069EB816" w14:textId="7858F052" w:rsidR="003B657A" w:rsidRPr="00BE5FA7" w:rsidRDefault="00163A04" w:rsidP="00D2510A">
      <w:pPr>
        <w:pStyle w:val="Standardtext"/>
        <w:numPr>
          <w:ilvl w:val="3"/>
          <w:numId w:val="15"/>
        </w:numPr>
        <w:spacing w:before="240" w:after="240"/>
        <w:ind w:left="2552" w:hanging="992"/>
        <w:jc w:val="both"/>
        <w:rPr>
          <w:rFonts w:ascii="Arial" w:hAnsi="Arial" w:cs="Arial"/>
          <w:lang w:val="es-MX"/>
        </w:rPr>
      </w:pPr>
      <w:r w:rsidRPr="00163A04">
        <w:rPr>
          <w:rFonts w:ascii="Arial" w:hAnsi="Arial" w:cs="Arial"/>
          <w:lang w:val="es-MX"/>
        </w:rPr>
        <w:t xml:space="preserve">Remitir los Archivos de Confirmación y Devolución de Transferencias de Crédito en un máximo de </w:t>
      </w:r>
      <w:r w:rsidR="00F172ED">
        <w:rPr>
          <w:rFonts w:ascii="Arial" w:hAnsi="Arial" w:cs="Arial"/>
          <w:lang w:val="es-MX"/>
        </w:rPr>
        <w:t>3</w:t>
      </w:r>
      <w:r w:rsidRPr="00163A04">
        <w:rPr>
          <w:rFonts w:ascii="Arial" w:hAnsi="Arial" w:cs="Arial"/>
          <w:lang w:val="es-MX"/>
        </w:rPr>
        <w:t xml:space="preserve"> minutos</w:t>
      </w:r>
      <w:r w:rsidR="008F056D">
        <w:rPr>
          <w:rFonts w:ascii="Arial" w:hAnsi="Arial" w:cs="Arial"/>
          <w:lang w:val="es-MX"/>
        </w:rPr>
        <w:t>,</w:t>
      </w:r>
      <w:r w:rsidRPr="00163A04">
        <w:rPr>
          <w:rFonts w:ascii="Arial" w:hAnsi="Arial" w:cs="Arial"/>
          <w:lang w:val="es-MX"/>
        </w:rPr>
        <w:t xml:space="preserve"> luego de haber recibido los Archivos de Transferencias de Crédito, incorporando para el caso de las devoluciones su causal</w:t>
      </w:r>
      <w:r w:rsidR="008F056D">
        <w:rPr>
          <w:rFonts w:ascii="Arial" w:hAnsi="Arial" w:cs="Arial"/>
          <w:lang w:val="es-MX"/>
        </w:rPr>
        <w:t>,</w:t>
      </w:r>
      <w:r w:rsidRPr="00163A04">
        <w:rPr>
          <w:rFonts w:ascii="Arial" w:hAnsi="Arial" w:cs="Arial"/>
          <w:lang w:val="es-MX"/>
        </w:rPr>
        <w:t xml:space="preserve"> de acuerdo con las definidas en el Anexo No. 4. del presente Instructivo.</w:t>
      </w:r>
    </w:p>
    <w:p w14:paraId="7608A1BD" w14:textId="35262A86" w:rsidR="00897122" w:rsidRDefault="000331DC" w:rsidP="00D2510A">
      <w:pPr>
        <w:pStyle w:val="Standardtext"/>
        <w:numPr>
          <w:ilvl w:val="3"/>
          <w:numId w:val="15"/>
        </w:numPr>
        <w:spacing w:before="240" w:after="240"/>
        <w:ind w:left="2552" w:hanging="992"/>
        <w:jc w:val="both"/>
        <w:rPr>
          <w:rFonts w:ascii="Arial" w:hAnsi="Arial" w:cs="Arial"/>
          <w:lang w:val="es-MX"/>
        </w:rPr>
      </w:pPr>
      <w:bookmarkStart w:id="84" w:name="_Toc5699721"/>
      <w:bookmarkEnd w:id="83"/>
      <w:r w:rsidRPr="00BE5FA7">
        <w:rPr>
          <w:rFonts w:ascii="Arial" w:hAnsi="Arial" w:cs="Arial"/>
          <w:lang w:val="es-MX"/>
        </w:rPr>
        <w:lastRenderedPageBreak/>
        <w:t xml:space="preserve"> </w:t>
      </w:r>
      <w:bookmarkEnd w:id="84"/>
      <w:r w:rsidR="00D41EA9" w:rsidRPr="00D41EA9">
        <w:rPr>
          <w:rFonts w:ascii="Arial" w:hAnsi="Arial" w:cs="Arial"/>
          <w:lang w:val="es-MX"/>
        </w:rPr>
        <w:t>Remitir el Archivo de Verificación de Cuentas validado, el mismo día de ser recibido y una vez concluidos los procesos de validación internos correspondientes.</w:t>
      </w:r>
    </w:p>
    <w:p w14:paraId="25165F43" w14:textId="278927CE" w:rsidR="00B843BF" w:rsidRPr="00BE5FA7" w:rsidRDefault="00FA29F5" w:rsidP="0062369A">
      <w:pPr>
        <w:pStyle w:val="Standardtext"/>
        <w:numPr>
          <w:ilvl w:val="3"/>
          <w:numId w:val="15"/>
        </w:numPr>
        <w:spacing w:before="120" w:after="120"/>
        <w:ind w:left="2551" w:hanging="992"/>
        <w:jc w:val="both"/>
        <w:rPr>
          <w:rFonts w:ascii="Arial" w:hAnsi="Arial" w:cs="Arial"/>
          <w:lang w:val="es-MX"/>
        </w:rPr>
      </w:pPr>
      <w:r w:rsidRPr="00FA29F5">
        <w:rPr>
          <w:rFonts w:ascii="Arial" w:hAnsi="Arial" w:cs="Arial"/>
          <w:lang w:val="es-MX"/>
        </w:rPr>
        <w:t xml:space="preserve">Responder ante los beneficiarios por las transferencias que se reciban del Transfer365, así como asumir la responsabilidad por errores derivados de las mismas, atribuibles al </w:t>
      </w:r>
      <w:r w:rsidR="00EB68BE">
        <w:rPr>
          <w:rFonts w:ascii="Arial" w:hAnsi="Arial" w:cs="Arial"/>
          <w:lang w:val="es-MX"/>
        </w:rPr>
        <w:t>Participante</w:t>
      </w:r>
      <w:r w:rsidRPr="00FA29F5">
        <w:rPr>
          <w:rFonts w:ascii="Arial" w:hAnsi="Arial" w:cs="Arial"/>
          <w:lang w:val="es-MX"/>
        </w:rPr>
        <w:t xml:space="preserve"> destino.</w:t>
      </w:r>
    </w:p>
    <w:p w14:paraId="5D1CB577" w14:textId="5AED6B60" w:rsidR="00A67D67" w:rsidRPr="001E7CB1" w:rsidRDefault="00F81A22" w:rsidP="001E7CB1">
      <w:pPr>
        <w:pStyle w:val="Standardtext"/>
        <w:numPr>
          <w:ilvl w:val="3"/>
          <w:numId w:val="15"/>
        </w:numPr>
        <w:spacing w:before="120" w:after="120"/>
        <w:ind w:left="2551" w:hanging="992"/>
        <w:jc w:val="both"/>
        <w:rPr>
          <w:rFonts w:ascii="Arial" w:hAnsi="Arial" w:cs="Arial"/>
          <w:lang w:val="es-MX"/>
        </w:rPr>
      </w:pPr>
      <w:r w:rsidRPr="00F81A22">
        <w:rPr>
          <w:rFonts w:ascii="Arial" w:hAnsi="Arial" w:cs="Arial"/>
          <w:lang w:val="es-MX"/>
        </w:rPr>
        <w:t xml:space="preserve">Aceptar todos los Archivos de Transferencias de Crédito válidamente aceptados por el Transfer365 enviados por cualquier </w:t>
      </w:r>
      <w:r w:rsidR="00EB68BE">
        <w:rPr>
          <w:rFonts w:ascii="Arial" w:hAnsi="Arial" w:cs="Arial"/>
          <w:lang w:val="es-MX"/>
        </w:rPr>
        <w:t>Participante</w:t>
      </w:r>
      <w:r w:rsidRPr="00F81A22">
        <w:rPr>
          <w:rFonts w:ascii="Arial" w:hAnsi="Arial" w:cs="Arial"/>
          <w:lang w:val="es-MX"/>
        </w:rPr>
        <w:t xml:space="preserve"> origen.</w:t>
      </w:r>
    </w:p>
    <w:p w14:paraId="40783FEC" w14:textId="523D0928" w:rsidR="007E65DE" w:rsidRPr="00BE5FA7" w:rsidRDefault="0050326B" w:rsidP="0062369A">
      <w:pPr>
        <w:pStyle w:val="Standardtext"/>
        <w:numPr>
          <w:ilvl w:val="1"/>
          <w:numId w:val="15"/>
        </w:numPr>
        <w:spacing w:before="120" w:after="120"/>
        <w:ind w:left="851" w:hanging="567"/>
        <w:jc w:val="both"/>
        <w:rPr>
          <w:rFonts w:ascii="Arial" w:hAnsi="Arial" w:cs="Arial"/>
          <w:b/>
          <w:lang w:val="es-MX"/>
        </w:rPr>
      </w:pPr>
      <w:bookmarkStart w:id="85" w:name="_Toc5891050"/>
      <w:r w:rsidRPr="00BE5FA7">
        <w:rPr>
          <w:rFonts w:ascii="Arial" w:hAnsi="Arial" w:cs="Arial"/>
          <w:b/>
          <w:lang w:val="es-MX"/>
        </w:rPr>
        <w:t>P</w:t>
      </w:r>
      <w:bookmarkEnd w:id="85"/>
      <w:r w:rsidR="005E6B0B" w:rsidRPr="00BE5FA7">
        <w:rPr>
          <w:rFonts w:ascii="Arial" w:hAnsi="Arial" w:cs="Arial"/>
          <w:b/>
          <w:lang w:val="es-MX"/>
        </w:rPr>
        <w:t>roceso de</w:t>
      </w:r>
      <w:r w:rsidR="005432D4">
        <w:rPr>
          <w:rFonts w:ascii="Arial" w:hAnsi="Arial" w:cs="Arial"/>
          <w:b/>
          <w:lang w:val="es-MX"/>
        </w:rPr>
        <w:t>l Transfer365</w:t>
      </w:r>
    </w:p>
    <w:p w14:paraId="7B566FC9" w14:textId="77777777" w:rsidR="007E65DE" w:rsidRPr="00BE5FA7" w:rsidRDefault="001E6D13" w:rsidP="0062369A">
      <w:pPr>
        <w:pStyle w:val="Standardtext"/>
        <w:numPr>
          <w:ilvl w:val="2"/>
          <w:numId w:val="15"/>
        </w:numPr>
        <w:spacing w:before="120" w:after="120"/>
        <w:ind w:left="1559" w:hanging="709"/>
        <w:jc w:val="both"/>
        <w:rPr>
          <w:rFonts w:ascii="Arial" w:hAnsi="Arial" w:cs="Arial"/>
          <w:b/>
          <w:lang w:val="es-MX"/>
        </w:rPr>
      </w:pPr>
      <w:r w:rsidRPr="00BE5FA7">
        <w:rPr>
          <w:rFonts w:ascii="Arial" w:hAnsi="Arial" w:cs="Arial"/>
          <w:b/>
          <w:lang w:val="es-MX"/>
        </w:rPr>
        <w:t>Horarios y días de operación:</w:t>
      </w:r>
      <w:r w:rsidR="007E65DE" w:rsidRPr="00BE5FA7">
        <w:rPr>
          <w:rFonts w:ascii="Arial" w:hAnsi="Arial" w:cs="Arial"/>
          <w:b/>
          <w:lang w:val="es-MX"/>
        </w:rPr>
        <w:t xml:space="preserve"> </w:t>
      </w:r>
    </w:p>
    <w:p w14:paraId="0E736E64" w14:textId="77777777" w:rsidR="00661478" w:rsidRPr="00661478" w:rsidRDefault="00661478" w:rsidP="00661478">
      <w:pPr>
        <w:spacing w:before="120" w:after="120" w:line="276" w:lineRule="auto"/>
        <w:ind w:left="1559"/>
        <w:jc w:val="both"/>
        <w:rPr>
          <w:rFonts w:ascii="Arial" w:eastAsia="Calibri" w:hAnsi="Arial" w:cs="Arial"/>
          <w:sz w:val="22"/>
          <w:szCs w:val="22"/>
          <w:lang w:val="es-MX" w:eastAsia="en-US"/>
        </w:rPr>
      </w:pPr>
      <w:r w:rsidRPr="00661478">
        <w:rPr>
          <w:rFonts w:ascii="Arial" w:eastAsia="Calibri" w:hAnsi="Arial" w:cs="Arial"/>
          <w:sz w:val="22"/>
          <w:szCs w:val="22"/>
          <w:lang w:val="es-MX" w:eastAsia="en-US"/>
        </w:rPr>
        <w:t>El Transfer365 operará los siete días de la semana, en el horario desde las 00:01 a.m. hasta las 10:00 p.m.</w:t>
      </w:r>
    </w:p>
    <w:p w14:paraId="34EE8BC8" w14:textId="77777777" w:rsidR="00661478" w:rsidRPr="00661478" w:rsidRDefault="00661478" w:rsidP="00661478">
      <w:pPr>
        <w:spacing w:before="120" w:after="120" w:line="276" w:lineRule="auto"/>
        <w:ind w:left="1559"/>
        <w:jc w:val="both"/>
        <w:rPr>
          <w:rFonts w:ascii="Arial" w:eastAsia="Calibri" w:hAnsi="Arial" w:cs="Arial"/>
          <w:sz w:val="22"/>
          <w:szCs w:val="22"/>
          <w:lang w:val="es-MX" w:eastAsia="en-US"/>
        </w:rPr>
      </w:pPr>
      <w:r w:rsidRPr="00661478">
        <w:rPr>
          <w:rFonts w:ascii="Arial" w:eastAsia="Calibri" w:hAnsi="Arial" w:cs="Arial"/>
          <w:sz w:val="22"/>
          <w:szCs w:val="22"/>
          <w:lang w:val="es-MX" w:eastAsia="en-US"/>
        </w:rPr>
        <w:t>Los Archivos de Transferencias de Crédito serán enviados al Sistema, de forma inmediata a partir de la recepción de la instrucción por parte de sus clientes.</w:t>
      </w:r>
    </w:p>
    <w:p w14:paraId="3E754F66" w14:textId="77777777" w:rsidR="00661478" w:rsidRPr="00661478" w:rsidRDefault="00661478" w:rsidP="00661478">
      <w:pPr>
        <w:spacing w:before="120" w:after="120" w:line="276" w:lineRule="auto"/>
        <w:ind w:left="1559"/>
        <w:jc w:val="both"/>
        <w:rPr>
          <w:rFonts w:ascii="Arial" w:eastAsia="Calibri" w:hAnsi="Arial" w:cs="Arial"/>
          <w:sz w:val="22"/>
          <w:szCs w:val="22"/>
          <w:lang w:val="es-MX" w:eastAsia="en-US"/>
        </w:rPr>
      </w:pPr>
      <w:r w:rsidRPr="00661478">
        <w:rPr>
          <w:rFonts w:ascii="Arial" w:eastAsia="Calibri" w:hAnsi="Arial" w:cs="Arial"/>
          <w:sz w:val="22"/>
          <w:szCs w:val="22"/>
          <w:lang w:val="es-MX" w:eastAsia="en-US"/>
        </w:rPr>
        <w:t>Los Archivos de Transferencias de Crédito, devoluciones y confirmaciones enviados a partir de las 10:00 p.m. (fin del día) serán aplicados y confirmados con fecha valor del siguiente día con un máximo de 3 minutos a partir de las 00:01 horas.</w:t>
      </w:r>
    </w:p>
    <w:p w14:paraId="3629B7A7" w14:textId="77777777" w:rsidR="00661478" w:rsidRPr="00661478" w:rsidRDefault="00661478" w:rsidP="00661478">
      <w:pPr>
        <w:spacing w:before="120" w:after="120" w:line="276" w:lineRule="auto"/>
        <w:ind w:left="1559"/>
        <w:jc w:val="both"/>
        <w:rPr>
          <w:rFonts w:ascii="Arial" w:eastAsia="Calibri" w:hAnsi="Arial" w:cs="Arial"/>
          <w:sz w:val="22"/>
          <w:szCs w:val="22"/>
          <w:lang w:val="es-MX" w:eastAsia="en-US"/>
        </w:rPr>
      </w:pPr>
      <w:r w:rsidRPr="00661478">
        <w:rPr>
          <w:rFonts w:ascii="Arial" w:eastAsia="Calibri" w:hAnsi="Arial" w:cs="Arial"/>
          <w:sz w:val="22"/>
          <w:szCs w:val="22"/>
          <w:lang w:val="es-MX" w:eastAsia="en-US"/>
        </w:rPr>
        <w:t>Respecto a los archivos que se envían bajo el proceso de liquidación neto, éstos serán realizados en los ciclos de liquidación detallados en el Anexo 5 del presente Instructivo, los cuales podrán ser modificados por el BCR, previa comunicación del Gerente a los Participantes como mínimo 5 días hábiles de anticipación.</w:t>
      </w:r>
    </w:p>
    <w:p w14:paraId="75B3CDE1" w14:textId="48AA51EC" w:rsidR="00897122" w:rsidRPr="00BE5FA7" w:rsidRDefault="00897122" w:rsidP="0062369A">
      <w:pPr>
        <w:pStyle w:val="Standardtext"/>
        <w:numPr>
          <w:ilvl w:val="2"/>
          <w:numId w:val="15"/>
        </w:numPr>
        <w:spacing w:before="120" w:after="120"/>
        <w:ind w:left="1560" w:hanging="709"/>
        <w:jc w:val="both"/>
        <w:rPr>
          <w:rFonts w:ascii="Arial" w:hAnsi="Arial" w:cs="Arial"/>
          <w:b/>
          <w:lang w:val="es-MX"/>
        </w:rPr>
      </w:pPr>
      <w:bookmarkStart w:id="86" w:name="_Hlk56613602"/>
      <w:r w:rsidRPr="00BE5FA7">
        <w:rPr>
          <w:rFonts w:ascii="Arial" w:hAnsi="Arial" w:cs="Arial"/>
          <w:b/>
          <w:lang w:val="es-MX"/>
        </w:rPr>
        <w:t>Procesam</w:t>
      </w:r>
      <w:r w:rsidR="005E6B0B" w:rsidRPr="00BE5FA7">
        <w:rPr>
          <w:rFonts w:ascii="Arial" w:hAnsi="Arial" w:cs="Arial"/>
          <w:b/>
          <w:lang w:val="es-MX"/>
        </w:rPr>
        <w:t>i</w:t>
      </w:r>
      <w:r w:rsidRPr="00BE5FA7">
        <w:rPr>
          <w:rFonts w:ascii="Arial" w:hAnsi="Arial" w:cs="Arial"/>
          <w:b/>
          <w:lang w:val="es-MX"/>
        </w:rPr>
        <w:t xml:space="preserve">ento de </w:t>
      </w:r>
      <w:r w:rsidR="008D1170" w:rsidRPr="00BE5FA7">
        <w:rPr>
          <w:rFonts w:ascii="Arial" w:hAnsi="Arial" w:cs="Arial"/>
          <w:b/>
          <w:lang w:val="es-MX"/>
        </w:rPr>
        <w:t xml:space="preserve">Transferencias de </w:t>
      </w:r>
      <w:r w:rsidR="00AF5C41" w:rsidRPr="00BE5FA7">
        <w:rPr>
          <w:rFonts w:ascii="Arial" w:hAnsi="Arial" w:cs="Arial"/>
          <w:b/>
          <w:lang w:val="es-MX"/>
        </w:rPr>
        <w:t>Fondos</w:t>
      </w:r>
      <w:r w:rsidR="0051108B" w:rsidRPr="00BE5FA7">
        <w:rPr>
          <w:rFonts w:ascii="Arial" w:hAnsi="Arial" w:cs="Arial"/>
          <w:b/>
          <w:lang w:val="es-MX"/>
        </w:rPr>
        <w:t xml:space="preserve"> </w:t>
      </w:r>
    </w:p>
    <w:bookmarkEnd w:id="86"/>
    <w:p w14:paraId="705608EF" w14:textId="03D9E054" w:rsidR="00770C32" w:rsidRPr="00BE5FA7" w:rsidRDefault="00770C32" w:rsidP="0062369A">
      <w:pPr>
        <w:pStyle w:val="Standardtext"/>
        <w:numPr>
          <w:ilvl w:val="3"/>
          <w:numId w:val="15"/>
        </w:numPr>
        <w:spacing w:before="120" w:after="120"/>
        <w:ind w:left="2552" w:hanging="992"/>
        <w:jc w:val="both"/>
        <w:rPr>
          <w:rFonts w:ascii="Arial" w:hAnsi="Arial" w:cs="Arial"/>
          <w:b/>
          <w:lang w:val="es-MX"/>
        </w:rPr>
      </w:pPr>
      <w:r w:rsidRPr="00BE5FA7">
        <w:rPr>
          <w:rFonts w:ascii="Arial" w:hAnsi="Arial" w:cs="Arial"/>
          <w:b/>
          <w:lang w:val="es-MX"/>
        </w:rPr>
        <w:t>Envío de Archivo de Transferencias de Crédito</w:t>
      </w:r>
    </w:p>
    <w:p w14:paraId="3F2ABBD7" w14:textId="012EE3B7" w:rsidR="0062369A" w:rsidRDefault="00EF5B22" w:rsidP="0062369A">
      <w:pPr>
        <w:pStyle w:val="Standardtext"/>
        <w:numPr>
          <w:ilvl w:val="4"/>
          <w:numId w:val="15"/>
        </w:numPr>
        <w:spacing w:before="120" w:after="120"/>
        <w:ind w:left="3686" w:hanging="1134"/>
        <w:jc w:val="both"/>
        <w:rPr>
          <w:rFonts w:ascii="Arial" w:hAnsi="Arial" w:cs="Arial"/>
          <w:lang w:val="es-MX"/>
        </w:rPr>
      </w:pPr>
      <w:r w:rsidRPr="00EF5B22">
        <w:rPr>
          <w:rFonts w:ascii="Arial" w:hAnsi="Arial" w:cs="Arial"/>
          <w:lang w:val="es-MX"/>
        </w:rPr>
        <w:t xml:space="preserve">El </w:t>
      </w:r>
      <w:r w:rsidR="00EB68BE">
        <w:rPr>
          <w:rFonts w:ascii="Arial" w:hAnsi="Arial" w:cs="Arial"/>
          <w:lang w:val="es-MX"/>
        </w:rPr>
        <w:t>Participante</w:t>
      </w:r>
      <w:r w:rsidRPr="00EF5B22">
        <w:rPr>
          <w:rFonts w:ascii="Arial" w:hAnsi="Arial" w:cs="Arial"/>
          <w:lang w:val="es-MX"/>
        </w:rPr>
        <w:t xml:space="preserve"> Origen deberá remitir al Transfer365 de acuerdo con lo normado en el numeral 5.5.1. de manera individual o consolidada los Archivo (s) de Transferencia de Crédito, el cual contiene las instrucciones de pago giradas por sus clientes originadores.</w:t>
      </w:r>
    </w:p>
    <w:p w14:paraId="66981D81" w14:textId="07F363B4" w:rsidR="00770C32" w:rsidRDefault="006053A4" w:rsidP="0062369A">
      <w:pPr>
        <w:pStyle w:val="Standardtext"/>
        <w:numPr>
          <w:ilvl w:val="4"/>
          <w:numId w:val="15"/>
        </w:numPr>
        <w:spacing w:before="120" w:after="120"/>
        <w:ind w:left="3686" w:hanging="1134"/>
        <w:jc w:val="both"/>
        <w:rPr>
          <w:rFonts w:ascii="Arial" w:hAnsi="Arial" w:cs="Arial"/>
          <w:lang w:val="es-MX"/>
        </w:rPr>
      </w:pPr>
      <w:r w:rsidRPr="006053A4">
        <w:rPr>
          <w:rFonts w:ascii="Arial" w:hAnsi="Arial" w:cs="Arial"/>
          <w:lang w:val="es-MX"/>
        </w:rPr>
        <w:lastRenderedPageBreak/>
        <w:t xml:space="preserve">Una vez recibidos los archivos, el Transfer365 realizará las validaciones del formato y de las condiciones de operación, enviando al </w:t>
      </w:r>
      <w:r w:rsidR="00EB68BE">
        <w:rPr>
          <w:rFonts w:ascii="Arial" w:hAnsi="Arial" w:cs="Arial"/>
          <w:lang w:val="es-MX"/>
        </w:rPr>
        <w:t>Participante</w:t>
      </w:r>
      <w:r w:rsidRPr="006053A4">
        <w:rPr>
          <w:rFonts w:ascii="Arial" w:hAnsi="Arial" w:cs="Arial"/>
          <w:lang w:val="es-MX"/>
        </w:rPr>
        <w:t xml:space="preserve"> Origen una respuesta de aceptación o de rechazo del archivo completo, o el rechazo de los registros de transferencias que no cumplen con las validaciones.</w:t>
      </w:r>
    </w:p>
    <w:p w14:paraId="3FAA9828" w14:textId="0D863C4B" w:rsidR="00952D76" w:rsidRPr="00BE5FA7" w:rsidRDefault="00BD72A3" w:rsidP="0062369A">
      <w:pPr>
        <w:pStyle w:val="Standardtext"/>
        <w:numPr>
          <w:ilvl w:val="3"/>
          <w:numId w:val="15"/>
        </w:numPr>
        <w:spacing w:before="120" w:after="120"/>
        <w:ind w:left="2552" w:hanging="992"/>
        <w:jc w:val="both"/>
        <w:rPr>
          <w:rFonts w:ascii="Arial" w:hAnsi="Arial" w:cs="Arial"/>
          <w:b/>
          <w:lang w:val="es-MX"/>
        </w:rPr>
      </w:pPr>
      <w:r w:rsidRPr="00BE5FA7">
        <w:rPr>
          <w:rFonts w:ascii="Arial" w:hAnsi="Arial" w:cs="Arial"/>
          <w:b/>
          <w:lang w:val="es-MX"/>
        </w:rPr>
        <w:t xml:space="preserve">Liquidación </w:t>
      </w:r>
      <w:r w:rsidR="009A6D1F" w:rsidRPr="00BE5FA7">
        <w:rPr>
          <w:rFonts w:ascii="Arial" w:hAnsi="Arial" w:cs="Arial"/>
          <w:b/>
          <w:lang w:val="es-MX"/>
        </w:rPr>
        <w:t xml:space="preserve">en </w:t>
      </w:r>
      <w:r w:rsidR="00D27252" w:rsidRPr="00BE5FA7">
        <w:rPr>
          <w:rFonts w:ascii="Arial" w:hAnsi="Arial" w:cs="Arial"/>
          <w:b/>
          <w:lang w:val="es-MX"/>
        </w:rPr>
        <w:t xml:space="preserve">el </w:t>
      </w:r>
      <w:r w:rsidR="009A6D1F" w:rsidRPr="00BE5FA7">
        <w:rPr>
          <w:rFonts w:ascii="Arial" w:hAnsi="Arial" w:cs="Arial"/>
          <w:b/>
          <w:lang w:val="es-MX"/>
        </w:rPr>
        <w:t xml:space="preserve">Banco Central </w:t>
      </w:r>
    </w:p>
    <w:p w14:paraId="5B3D29A0" w14:textId="127B417E" w:rsidR="00661478" w:rsidRPr="00661478" w:rsidRDefault="00661478" w:rsidP="00661478">
      <w:pPr>
        <w:pStyle w:val="Standardtext"/>
        <w:spacing w:before="0" w:after="120"/>
        <w:ind w:left="2552"/>
        <w:jc w:val="both"/>
        <w:rPr>
          <w:rFonts w:ascii="Arial" w:hAnsi="Arial" w:cs="Arial"/>
          <w:lang w:val="es-SV"/>
        </w:rPr>
      </w:pPr>
      <w:r w:rsidRPr="00661478">
        <w:rPr>
          <w:rFonts w:ascii="Arial" w:hAnsi="Arial" w:cs="Arial"/>
          <w:lang w:val="es-SV"/>
        </w:rPr>
        <w:t>La liquidación en el B</w:t>
      </w:r>
      <w:r w:rsidR="00DE50A0">
        <w:rPr>
          <w:rFonts w:ascii="Arial" w:hAnsi="Arial" w:cs="Arial"/>
          <w:lang w:val="es-SV"/>
        </w:rPr>
        <w:t>CR</w:t>
      </w:r>
      <w:r w:rsidRPr="00661478">
        <w:rPr>
          <w:rFonts w:ascii="Arial" w:hAnsi="Arial" w:cs="Arial"/>
          <w:lang w:val="es-SV"/>
        </w:rPr>
        <w:t xml:space="preserve"> se realizará bajo dos procesos:</w:t>
      </w:r>
    </w:p>
    <w:p w14:paraId="5472B4C4" w14:textId="4982192C" w:rsidR="00661478" w:rsidRPr="00661478" w:rsidRDefault="00661478" w:rsidP="00661478">
      <w:pPr>
        <w:pStyle w:val="Standardtext"/>
        <w:numPr>
          <w:ilvl w:val="4"/>
          <w:numId w:val="15"/>
        </w:numPr>
        <w:spacing w:before="120" w:after="120"/>
        <w:ind w:left="3544" w:hanging="992"/>
        <w:jc w:val="both"/>
        <w:rPr>
          <w:rFonts w:ascii="Arial" w:hAnsi="Arial" w:cs="Arial"/>
          <w:b/>
          <w:lang w:val="es-MX"/>
        </w:rPr>
      </w:pPr>
      <w:r w:rsidRPr="00661478">
        <w:rPr>
          <w:rFonts w:ascii="Arial" w:hAnsi="Arial" w:cs="Arial"/>
          <w:b/>
          <w:lang w:val="es-MX"/>
        </w:rPr>
        <w:t>Proceso de liquidación neto.</w:t>
      </w:r>
    </w:p>
    <w:p w14:paraId="4F8DB4A5" w14:textId="77777777" w:rsidR="00661478" w:rsidRPr="00661478" w:rsidRDefault="00661478" w:rsidP="007955D0">
      <w:pPr>
        <w:pStyle w:val="Standardtext"/>
        <w:tabs>
          <w:tab w:val="left" w:pos="2694"/>
        </w:tabs>
        <w:spacing w:before="0" w:after="120"/>
        <w:ind w:left="3544"/>
        <w:jc w:val="both"/>
        <w:rPr>
          <w:rFonts w:ascii="Arial" w:hAnsi="Arial" w:cs="Arial"/>
          <w:lang w:val="es-SV"/>
        </w:rPr>
      </w:pPr>
      <w:r w:rsidRPr="00661478">
        <w:rPr>
          <w:rFonts w:ascii="Arial" w:hAnsi="Arial" w:cs="Arial"/>
          <w:lang w:val="es-SV"/>
        </w:rPr>
        <w:t>Para el caso que los Archivos se procesen bajo esquema de liquidación neto se procederá con lo descrito en el numeral 5.5.2.8.</w:t>
      </w:r>
    </w:p>
    <w:p w14:paraId="0A57F7EF" w14:textId="62D4A311" w:rsidR="00661478" w:rsidRPr="00661478" w:rsidRDefault="00661478" w:rsidP="00661478">
      <w:pPr>
        <w:pStyle w:val="Standardtext"/>
        <w:numPr>
          <w:ilvl w:val="4"/>
          <w:numId w:val="15"/>
        </w:numPr>
        <w:spacing w:before="120" w:after="120"/>
        <w:ind w:left="3544" w:hanging="992"/>
        <w:jc w:val="both"/>
        <w:rPr>
          <w:rFonts w:ascii="Arial" w:hAnsi="Arial" w:cs="Arial"/>
          <w:b/>
          <w:lang w:val="es-MX"/>
        </w:rPr>
      </w:pPr>
      <w:r w:rsidRPr="00661478">
        <w:rPr>
          <w:rFonts w:ascii="Arial" w:hAnsi="Arial" w:cs="Arial"/>
          <w:b/>
          <w:lang w:val="es-MX"/>
        </w:rPr>
        <w:t>Proceso de liquidación continua.</w:t>
      </w:r>
    </w:p>
    <w:p w14:paraId="7B203A08" w14:textId="6BCF4511" w:rsidR="00661478" w:rsidRPr="00661478" w:rsidRDefault="00661478" w:rsidP="007955D0">
      <w:pPr>
        <w:pStyle w:val="Standardtext"/>
        <w:spacing w:before="0" w:after="120"/>
        <w:ind w:left="3544"/>
        <w:jc w:val="both"/>
        <w:rPr>
          <w:rFonts w:ascii="Arial" w:hAnsi="Arial" w:cs="Arial"/>
          <w:lang w:val="es-SV"/>
        </w:rPr>
      </w:pPr>
      <w:r w:rsidRPr="00661478">
        <w:rPr>
          <w:rFonts w:ascii="Arial" w:hAnsi="Arial" w:cs="Arial"/>
          <w:lang w:val="es-SV"/>
        </w:rPr>
        <w:t>Los Archivos que se procesen bajo esquema de liquidación continua, si una vez cargados en el Sistema son válidamente aceptados, el Transfer365 procederá de forma inmediata a realizar la liquidación del pago, enviando una instrucción de débito y crédito a las cuentas de los Participantes para su liquidación automática en el LBTR, la cual podrá tener los resultados siguientes:</w:t>
      </w:r>
    </w:p>
    <w:p w14:paraId="155793FB" w14:textId="77777777" w:rsidR="00661478" w:rsidRPr="00661478" w:rsidRDefault="00661478" w:rsidP="003037DA">
      <w:pPr>
        <w:pStyle w:val="Standardtext"/>
        <w:numPr>
          <w:ilvl w:val="5"/>
          <w:numId w:val="15"/>
        </w:numPr>
        <w:spacing w:before="120" w:after="120"/>
        <w:ind w:left="4820" w:hanging="1276"/>
        <w:jc w:val="both"/>
        <w:rPr>
          <w:rFonts w:ascii="Arial" w:hAnsi="Arial" w:cs="Arial"/>
          <w:b/>
          <w:lang w:val="es-MX"/>
        </w:rPr>
      </w:pPr>
      <w:r w:rsidRPr="00661478">
        <w:rPr>
          <w:rFonts w:ascii="Arial" w:hAnsi="Arial" w:cs="Arial"/>
          <w:b/>
          <w:lang w:val="es-MX"/>
        </w:rPr>
        <w:t xml:space="preserve">Liquidación Exitosa: </w:t>
      </w:r>
    </w:p>
    <w:p w14:paraId="3574C1D7" w14:textId="25039428" w:rsidR="00661478" w:rsidRPr="00661478" w:rsidRDefault="00661478" w:rsidP="003037DA">
      <w:pPr>
        <w:pStyle w:val="Standardtext"/>
        <w:spacing w:before="0" w:after="120"/>
        <w:ind w:left="4820"/>
        <w:jc w:val="both"/>
        <w:rPr>
          <w:rFonts w:ascii="Arial" w:hAnsi="Arial" w:cs="Arial"/>
          <w:lang w:val="es-SV"/>
        </w:rPr>
      </w:pPr>
      <w:r w:rsidRPr="00661478">
        <w:rPr>
          <w:rFonts w:ascii="Arial" w:hAnsi="Arial" w:cs="Arial"/>
          <w:lang w:val="es-SV"/>
        </w:rPr>
        <w:t>El Transfer365 procederá a liquidar y a notificar al Participante originador el resultado de la liquidación exitosa.</w:t>
      </w:r>
    </w:p>
    <w:p w14:paraId="0C16259F" w14:textId="77777777" w:rsidR="00661478" w:rsidRPr="00661478" w:rsidRDefault="00661478" w:rsidP="003037DA">
      <w:pPr>
        <w:pStyle w:val="Standardtext"/>
        <w:numPr>
          <w:ilvl w:val="5"/>
          <w:numId w:val="15"/>
        </w:numPr>
        <w:spacing w:before="120" w:after="120"/>
        <w:ind w:left="4820" w:hanging="1276"/>
        <w:jc w:val="both"/>
        <w:rPr>
          <w:rFonts w:ascii="Arial" w:hAnsi="Arial" w:cs="Arial"/>
          <w:b/>
          <w:lang w:val="es-MX"/>
        </w:rPr>
      </w:pPr>
      <w:r w:rsidRPr="00661478">
        <w:rPr>
          <w:rFonts w:ascii="Arial" w:hAnsi="Arial" w:cs="Arial"/>
          <w:b/>
          <w:lang w:val="es-MX"/>
        </w:rPr>
        <w:t xml:space="preserve">Liquidación Fallida:  </w:t>
      </w:r>
    </w:p>
    <w:p w14:paraId="29DD5AEB" w14:textId="26043FF3" w:rsidR="00661478" w:rsidRPr="00661478" w:rsidRDefault="00661478" w:rsidP="003037DA">
      <w:pPr>
        <w:pStyle w:val="Standardtext"/>
        <w:spacing w:before="0" w:after="120"/>
        <w:ind w:left="4820"/>
        <w:jc w:val="both"/>
        <w:rPr>
          <w:rFonts w:ascii="Arial" w:hAnsi="Arial" w:cs="Arial"/>
          <w:lang w:val="es-SV"/>
        </w:rPr>
      </w:pPr>
      <w:r w:rsidRPr="00661478">
        <w:rPr>
          <w:rFonts w:ascii="Arial" w:hAnsi="Arial" w:cs="Arial"/>
          <w:lang w:val="es-SV"/>
        </w:rPr>
        <w:t>Si un Participante originador no tiene los fondos suficientes para liquidar sus pagos o por inconvenientes en la liquidación en el BCR, el Transfer365 procederá a enviar una notificación con el detalle de todas las transferencias de fondos canceladas. Cuando se trate de operaciones de un cliente originador, el Participante deberá retornar los fondos en un máximo de 2 minutos.</w:t>
      </w:r>
    </w:p>
    <w:p w14:paraId="5170C82E" w14:textId="13773E2B" w:rsidR="00BD72A3" w:rsidRPr="00CB2812" w:rsidRDefault="00BD72A3" w:rsidP="003B777F">
      <w:pPr>
        <w:pStyle w:val="Standardtext"/>
        <w:numPr>
          <w:ilvl w:val="3"/>
          <w:numId w:val="15"/>
        </w:numPr>
        <w:spacing w:before="240" w:after="240"/>
        <w:ind w:left="2552" w:hanging="992"/>
        <w:jc w:val="both"/>
        <w:rPr>
          <w:rFonts w:ascii="Arial" w:hAnsi="Arial" w:cs="Arial"/>
          <w:b/>
          <w:lang w:val="es-MX"/>
        </w:rPr>
      </w:pPr>
      <w:r w:rsidRPr="00CB2812">
        <w:rPr>
          <w:rFonts w:ascii="Arial" w:hAnsi="Arial" w:cs="Arial"/>
          <w:b/>
          <w:lang w:val="es-MX"/>
        </w:rPr>
        <w:lastRenderedPageBreak/>
        <w:t xml:space="preserve">Remisión de Transferencias de </w:t>
      </w:r>
      <w:r w:rsidR="00E75261" w:rsidRPr="00CB2812">
        <w:rPr>
          <w:rFonts w:ascii="Arial" w:hAnsi="Arial" w:cs="Arial"/>
          <w:b/>
          <w:lang w:val="es-MX"/>
        </w:rPr>
        <w:t>Fondos</w:t>
      </w:r>
      <w:r w:rsidRPr="00CB2812">
        <w:rPr>
          <w:rFonts w:ascii="Arial" w:hAnsi="Arial" w:cs="Arial"/>
          <w:b/>
          <w:lang w:val="es-MX"/>
        </w:rPr>
        <w:t xml:space="preserve"> al </w:t>
      </w:r>
      <w:r w:rsidR="00EB68BE">
        <w:rPr>
          <w:rFonts w:ascii="Arial" w:hAnsi="Arial" w:cs="Arial"/>
          <w:b/>
          <w:lang w:val="es-MX"/>
        </w:rPr>
        <w:t>Participante</w:t>
      </w:r>
      <w:r w:rsidRPr="00CB2812">
        <w:rPr>
          <w:rFonts w:ascii="Arial" w:hAnsi="Arial" w:cs="Arial"/>
          <w:b/>
          <w:lang w:val="es-MX"/>
        </w:rPr>
        <w:t xml:space="preserve"> Destino </w:t>
      </w:r>
      <w:r w:rsidR="00382009" w:rsidRPr="00CB2812">
        <w:rPr>
          <w:rFonts w:ascii="Arial" w:hAnsi="Arial" w:cs="Arial"/>
          <w:b/>
          <w:lang w:val="es-MX"/>
        </w:rPr>
        <w:t xml:space="preserve">y Liberación de Fondos a los Beneficiarios Finales. </w:t>
      </w:r>
    </w:p>
    <w:p w14:paraId="073F6039" w14:textId="3156D1BE" w:rsidR="00382009" w:rsidRDefault="00FB1A49" w:rsidP="00486AA2">
      <w:pPr>
        <w:pStyle w:val="Standardtext"/>
        <w:spacing w:before="0" w:after="120"/>
        <w:ind w:left="2552"/>
        <w:jc w:val="both"/>
        <w:rPr>
          <w:rFonts w:ascii="Arial" w:hAnsi="Arial" w:cs="Arial"/>
          <w:lang w:val="es-MX"/>
        </w:rPr>
      </w:pPr>
      <w:r w:rsidRPr="00FB1A49">
        <w:rPr>
          <w:rFonts w:ascii="Arial" w:hAnsi="Arial" w:cs="Arial"/>
          <w:lang w:val="es-MX"/>
        </w:rPr>
        <w:t xml:space="preserve">Una vez liquidadas las instrucciones de pago, el Transfer365 </w:t>
      </w:r>
      <w:r w:rsidRPr="008F056D">
        <w:rPr>
          <w:rFonts w:ascii="Arial" w:hAnsi="Arial" w:cs="Arial"/>
          <w:lang w:val="es-MX"/>
        </w:rPr>
        <w:t xml:space="preserve">remitirá los Archivos de Transferencia de Crédito al </w:t>
      </w:r>
      <w:r w:rsidR="00EB68BE" w:rsidRPr="008F056D">
        <w:rPr>
          <w:rFonts w:ascii="Arial" w:hAnsi="Arial" w:cs="Arial"/>
          <w:lang w:val="es-MX"/>
        </w:rPr>
        <w:t>Participante</w:t>
      </w:r>
      <w:r w:rsidRPr="008F056D">
        <w:rPr>
          <w:rFonts w:ascii="Arial" w:hAnsi="Arial" w:cs="Arial"/>
          <w:lang w:val="es-MX"/>
        </w:rPr>
        <w:t xml:space="preserve"> Destino, para su validación</w:t>
      </w:r>
      <w:r w:rsidRPr="00FB1A49">
        <w:rPr>
          <w:rFonts w:ascii="Arial" w:hAnsi="Arial" w:cs="Arial"/>
          <w:lang w:val="es-MX"/>
        </w:rPr>
        <w:t xml:space="preserve"> y/o acreditación de fondos </w:t>
      </w:r>
      <w:r w:rsidR="008F056D">
        <w:rPr>
          <w:rFonts w:ascii="Arial" w:hAnsi="Arial" w:cs="Arial"/>
          <w:lang w:val="es-MX"/>
        </w:rPr>
        <w:t>de acuerdo con lo normado en el numeral 5.4.18.2</w:t>
      </w:r>
      <w:r w:rsidRPr="00FB1A49">
        <w:rPr>
          <w:rFonts w:ascii="Arial" w:hAnsi="Arial" w:cs="Arial"/>
          <w:lang w:val="es-MX"/>
        </w:rPr>
        <w:t xml:space="preserve"> y de aquellas que por alguno de los motivos definidos en el Anexo No. 4 del presente instructivo, serán devueltas.</w:t>
      </w:r>
    </w:p>
    <w:p w14:paraId="2AC1CD48" w14:textId="77777777" w:rsidR="007B2DB8" w:rsidRPr="00BE5FA7" w:rsidRDefault="007B2DB8" w:rsidP="00D2510A">
      <w:pPr>
        <w:pStyle w:val="Standardtext"/>
        <w:numPr>
          <w:ilvl w:val="3"/>
          <w:numId w:val="15"/>
        </w:numPr>
        <w:spacing w:before="240" w:after="240"/>
        <w:ind w:left="2552" w:hanging="992"/>
        <w:jc w:val="both"/>
        <w:rPr>
          <w:rFonts w:ascii="Arial" w:hAnsi="Arial" w:cs="Arial"/>
          <w:b/>
          <w:lang w:val="es-MX"/>
        </w:rPr>
      </w:pPr>
      <w:r w:rsidRPr="00BE5FA7">
        <w:rPr>
          <w:rFonts w:ascii="Arial" w:hAnsi="Arial" w:cs="Arial"/>
          <w:b/>
          <w:lang w:val="es-MX"/>
        </w:rPr>
        <w:t xml:space="preserve">Envío de Archivo de Devoluciones de Transferencias de Crédito  </w:t>
      </w:r>
    </w:p>
    <w:p w14:paraId="67ED0F82" w14:textId="1CA747DF" w:rsidR="007B2DB8" w:rsidRDefault="00D44894" w:rsidP="00E6385F">
      <w:pPr>
        <w:pStyle w:val="Standardtext"/>
        <w:numPr>
          <w:ilvl w:val="4"/>
          <w:numId w:val="15"/>
        </w:numPr>
        <w:spacing w:before="240" w:after="0"/>
        <w:ind w:left="3544" w:hanging="992"/>
        <w:jc w:val="both"/>
        <w:rPr>
          <w:rFonts w:ascii="Arial" w:hAnsi="Arial" w:cs="Arial"/>
          <w:bCs/>
          <w:lang w:val="es-MX"/>
        </w:rPr>
      </w:pPr>
      <w:r w:rsidRPr="00D44894">
        <w:rPr>
          <w:rFonts w:ascii="Arial" w:hAnsi="Arial" w:cs="Arial"/>
          <w:bCs/>
          <w:lang w:val="es-MX"/>
        </w:rPr>
        <w:t xml:space="preserve">Cuando el </w:t>
      </w:r>
      <w:r w:rsidR="00EB68BE">
        <w:rPr>
          <w:rFonts w:ascii="Arial" w:hAnsi="Arial" w:cs="Arial"/>
          <w:bCs/>
          <w:lang w:val="es-MX"/>
        </w:rPr>
        <w:t>Participante</w:t>
      </w:r>
      <w:r w:rsidRPr="00D44894">
        <w:rPr>
          <w:rFonts w:ascii="Arial" w:hAnsi="Arial" w:cs="Arial"/>
          <w:bCs/>
          <w:lang w:val="es-MX"/>
        </w:rPr>
        <w:t xml:space="preserve"> Destino por algún motivo no pueda aplicar una transferencia de fondos al Beneficiario Final, deberá realizar la devolución de fondos a través del Transfer365 en un máximo de </w:t>
      </w:r>
      <w:r w:rsidR="000C55E9">
        <w:rPr>
          <w:rFonts w:ascii="Arial" w:hAnsi="Arial" w:cs="Arial"/>
          <w:bCs/>
          <w:lang w:val="es-MX"/>
        </w:rPr>
        <w:t>3</w:t>
      </w:r>
      <w:r w:rsidRPr="00D44894">
        <w:rPr>
          <w:rFonts w:ascii="Arial" w:hAnsi="Arial" w:cs="Arial"/>
          <w:bCs/>
          <w:lang w:val="es-MX"/>
        </w:rPr>
        <w:t xml:space="preserve"> minutos, luego de recibir el Archivo de Transferencia de Crédito por parte del </w:t>
      </w:r>
      <w:r w:rsidR="00EB68BE">
        <w:rPr>
          <w:rFonts w:ascii="Arial" w:hAnsi="Arial" w:cs="Arial"/>
          <w:bCs/>
          <w:lang w:val="es-MX"/>
        </w:rPr>
        <w:t>Participante</w:t>
      </w:r>
      <w:r w:rsidRPr="00D44894">
        <w:rPr>
          <w:rFonts w:ascii="Arial" w:hAnsi="Arial" w:cs="Arial"/>
          <w:bCs/>
          <w:lang w:val="es-MX"/>
        </w:rPr>
        <w:t xml:space="preserve"> Origen, incorporando el motivo de la devolución.</w:t>
      </w:r>
    </w:p>
    <w:p w14:paraId="4A7826FD" w14:textId="77777777" w:rsidR="00661478" w:rsidRPr="00661478" w:rsidRDefault="00661478" w:rsidP="00661478">
      <w:pPr>
        <w:pStyle w:val="Standardtext"/>
        <w:numPr>
          <w:ilvl w:val="4"/>
          <w:numId w:val="15"/>
        </w:numPr>
        <w:spacing w:before="240" w:after="0"/>
        <w:ind w:left="3544" w:hanging="992"/>
        <w:jc w:val="both"/>
        <w:rPr>
          <w:rFonts w:ascii="Arial" w:hAnsi="Arial" w:cs="Arial"/>
          <w:bCs/>
          <w:lang w:val="es-MX"/>
        </w:rPr>
      </w:pPr>
      <w:r w:rsidRPr="00661478">
        <w:rPr>
          <w:rFonts w:ascii="Arial" w:hAnsi="Arial" w:cs="Arial"/>
          <w:bCs/>
          <w:lang w:val="es-MX"/>
        </w:rPr>
        <w:t>Una vez recibido los archivos, el Transfer365 realizará las validaciones del formato y de las condiciones de operación, enviando al Participante Destino una respuesta de aceptación o de rechazo del archivo completo o de los registros de transferencias que no cumplen con las validaciones.</w:t>
      </w:r>
    </w:p>
    <w:p w14:paraId="09CE1CFF" w14:textId="03B69F88" w:rsidR="00661478" w:rsidRPr="00661478" w:rsidRDefault="00661478" w:rsidP="00661478">
      <w:pPr>
        <w:pStyle w:val="Standardtext"/>
        <w:spacing w:before="240" w:after="0"/>
        <w:ind w:left="3544"/>
        <w:jc w:val="both"/>
        <w:rPr>
          <w:rFonts w:ascii="Arial" w:hAnsi="Arial" w:cs="Arial"/>
          <w:bCs/>
          <w:lang w:val="es-MX"/>
        </w:rPr>
      </w:pPr>
      <w:r w:rsidRPr="00661478">
        <w:rPr>
          <w:rFonts w:ascii="Arial" w:hAnsi="Arial" w:cs="Arial"/>
          <w:bCs/>
          <w:lang w:val="es-MX"/>
        </w:rPr>
        <w:t xml:space="preserve">En el caso de los procesos de liquidación continua, el Sistema procederá a realizar la liquidación de acuerdo con lo descrito en </w:t>
      </w:r>
      <w:r w:rsidRPr="00536C0A">
        <w:rPr>
          <w:rFonts w:ascii="Arial" w:hAnsi="Arial" w:cs="Arial"/>
          <w:bCs/>
          <w:lang w:val="es-MX"/>
        </w:rPr>
        <w:t>el numeral 5.5.2.2.2.</w:t>
      </w:r>
      <w:r w:rsidRPr="00661478">
        <w:rPr>
          <w:rFonts w:ascii="Arial" w:hAnsi="Arial" w:cs="Arial"/>
          <w:bCs/>
          <w:lang w:val="es-MX"/>
        </w:rPr>
        <w:t xml:space="preserve"> </w:t>
      </w:r>
    </w:p>
    <w:p w14:paraId="587D0882" w14:textId="6DDFB870" w:rsidR="00661478" w:rsidRDefault="00661478" w:rsidP="00661478">
      <w:pPr>
        <w:pStyle w:val="Standardtext"/>
        <w:spacing w:before="240" w:after="0"/>
        <w:ind w:left="3544"/>
        <w:jc w:val="both"/>
        <w:rPr>
          <w:rFonts w:ascii="Arial" w:hAnsi="Arial" w:cs="Arial"/>
          <w:bCs/>
          <w:lang w:val="es-MX"/>
        </w:rPr>
      </w:pPr>
      <w:r w:rsidRPr="00661478">
        <w:rPr>
          <w:rFonts w:ascii="Arial" w:hAnsi="Arial" w:cs="Arial"/>
          <w:bCs/>
          <w:lang w:val="es-MX"/>
        </w:rPr>
        <w:t>Posteriormente, el Transfer365 envía el Archivo de Devolución hacia al Participante Origen para que éste a su vez le notifique al Originador que su transferencia de fondos ha sido rechazada y proceda a retornarle los fondos en un máximo de 2 minutos, a partir de la recepción de dicho archivo.</w:t>
      </w:r>
    </w:p>
    <w:p w14:paraId="50705998" w14:textId="77777777" w:rsidR="005E7B1F" w:rsidRDefault="005E7B1F" w:rsidP="005E7B1F">
      <w:pPr>
        <w:pStyle w:val="Standardtext"/>
        <w:spacing w:before="240" w:after="0"/>
        <w:jc w:val="both"/>
        <w:rPr>
          <w:rFonts w:ascii="Arial" w:hAnsi="Arial" w:cs="Arial"/>
          <w:bCs/>
          <w:lang w:val="es-MX"/>
        </w:rPr>
      </w:pPr>
    </w:p>
    <w:p w14:paraId="428DA642" w14:textId="7A424CA9" w:rsidR="001326A6" w:rsidRDefault="00555982" w:rsidP="001326A6">
      <w:pPr>
        <w:pStyle w:val="Standardtext"/>
        <w:numPr>
          <w:ilvl w:val="3"/>
          <w:numId w:val="15"/>
        </w:numPr>
        <w:spacing w:before="240" w:after="240"/>
        <w:ind w:left="2552" w:hanging="992"/>
        <w:jc w:val="both"/>
        <w:rPr>
          <w:rFonts w:ascii="Arial" w:hAnsi="Arial" w:cs="Arial"/>
          <w:b/>
          <w:lang w:val="es-MX"/>
        </w:rPr>
      </w:pPr>
      <w:r w:rsidRPr="00555982">
        <w:rPr>
          <w:rFonts w:ascii="Arial" w:hAnsi="Arial" w:cs="Arial"/>
          <w:b/>
          <w:lang w:val="es-MX"/>
        </w:rPr>
        <w:lastRenderedPageBreak/>
        <w:t xml:space="preserve">Envío de Archivo de Confirmación de Transferencias de Crédito  </w:t>
      </w:r>
    </w:p>
    <w:p w14:paraId="5C83EE19" w14:textId="5B117BC7" w:rsidR="00B0504E" w:rsidRDefault="00641A7C" w:rsidP="00E6385F">
      <w:pPr>
        <w:pStyle w:val="Standardtext"/>
        <w:numPr>
          <w:ilvl w:val="4"/>
          <w:numId w:val="15"/>
        </w:numPr>
        <w:spacing w:before="240" w:after="0"/>
        <w:ind w:left="3544" w:hanging="992"/>
        <w:jc w:val="both"/>
        <w:rPr>
          <w:rFonts w:ascii="Arial" w:hAnsi="Arial" w:cs="Arial"/>
          <w:bCs/>
          <w:lang w:val="es-MX"/>
        </w:rPr>
      </w:pPr>
      <w:r w:rsidRPr="00641A7C">
        <w:rPr>
          <w:rFonts w:ascii="Arial" w:hAnsi="Arial" w:cs="Arial"/>
          <w:bCs/>
          <w:lang w:val="es-MX"/>
        </w:rPr>
        <w:t xml:space="preserve">Una vez el </w:t>
      </w:r>
      <w:r w:rsidR="00EB68BE">
        <w:rPr>
          <w:rFonts w:ascii="Arial" w:hAnsi="Arial" w:cs="Arial"/>
          <w:bCs/>
          <w:lang w:val="es-MX"/>
        </w:rPr>
        <w:t>Participante</w:t>
      </w:r>
      <w:r w:rsidRPr="00641A7C">
        <w:rPr>
          <w:rFonts w:ascii="Arial" w:hAnsi="Arial" w:cs="Arial"/>
          <w:bCs/>
          <w:lang w:val="es-MX"/>
        </w:rPr>
        <w:t xml:space="preserve"> Destino acredite los fondos al Beneficiario Final, deberá enviar al </w:t>
      </w:r>
      <w:r w:rsidR="00EB68BE">
        <w:rPr>
          <w:rFonts w:ascii="Arial" w:hAnsi="Arial" w:cs="Arial"/>
          <w:bCs/>
          <w:lang w:val="es-MX"/>
        </w:rPr>
        <w:t>Participante</w:t>
      </w:r>
      <w:r w:rsidRPr="00641A7C">
        <w:rPr>
          <w:rFonts w:ascii="Arial" w:hAnsi="Arial" w:cs="Arial"/>
          <w:bCs/>
          <w:lang w:val="es-MX"/>
        </w:rPr>
        <w:t xml:space="preserve"> Origen a través del Transfer365 el Archivo de Confirmación de Transferencias de Crédito</w:t>
      </w:r>
      <w:r w:rsidR="000623DA">
        <w:rPr>
          <w:rFonts w:ascii="Arial" w:hAnsi="Arial" w:cs="Arial"/>
          <w:bCs/>
          <w:lang w:val="es-MX"/>
        </w:rPr>
        <w:t>,</w:t>
      </w:r>
      <w:r w:rsidRPr="00641A7C">
        <w:rPr>
          <w:rFonts w:ascii="Arial" w:hAnsi="Arial" w:cs="Arial"/>
          <w:bCs/>
          <w:lang w:val="es-MX"/>
        </w:rPr>
        <w:t xml:space="preserve"> en un máximo de </w:t>
      </w:r>
      <w:r w:rsidR="00370122">
        <w:rPr>
          <w:rFonts w:ascii="Arial" w:hAnsi="Arial" w:cs="Arial"/>
          <w:bCs/>
          <w:lang w:val="es-MX"/>
        </w:rPr>
        <w:t>3</w:t>
      </w:r>
      <w:r w:rsidRPr="00641A7C">
        <w:rPr>
          <w:rFonts w:ascii="Arial" w:hAnsi="Arial" w:cs="Arial"/>
          <w:bCs/>
          <w:lang w:val="es-MX"/>
        </w:rPr>
        <w:t xml:space="preserve"> minutos.</w:t>
      </w:r>
    </w:p>
    <w:p w14:paraId="5FEDFC4C" w14:textId="46729729" w:rsidR="000E3309" w:rsidRDefault="001B40E1" w:rsidP="00B0504E">
      <w:pPr>
        <w:pStyle w:val="Standardtext"/>
        <w:numPr>
          <w:ilvl w:val="4"/>
          <w:numId w:val="15"/>
        </w:numPr>
        <w:spacing w:before="240" w:after="240"/>
        <w:ind w:left="3544" w:hanging="992"/>
        <w:jc w:val="both"/>
        <w:rPr>
          <w:rFonts w:ascii="Arial" w:hAnsi="Arial" w:cs="Arial"/>
          <w:bCs/>
          <w:lang w:val="es-MX"/>
        </w:rPr>
      </w:pPr>
      <w:r w:rsidRPr="001B40E1">
        <w:rPr>
          <w:rFonts w:ascii="Arial" w:hAnsi="Arial" w:cs="Arial"/>
          <w:bCs/>
          <w:lang w:val="es-MX"/>
        </w:rPr>
        <w:t xml:space="preserve">Una vez recibido los archivos, el Transfer365 realizará las validaciones del formato y de las condiciones de operación, enviando al </w:t>
      </w:r>
      <w:r w:rsidR="00EB68BE">
        <w:rPr>
          <w:rFonts w:ascii="Arial" w:hAnsi="Arial" w:cs="Arial"/>
          <w:bCs/>
          <w:lang w:val="es-MX"/>
        </w:rPr>
        <w:t>Participante</w:t>
      </w:r>
      <w:r w:rsidRPr="001B40E1">
        <w:rPr>
          <w:rFonts w:ascii="Arial" w:hAnsi="Arial" w:cs="Arial"/>
          <w:bCs/>
          <w:lang w:val="es-MX"/>
        </w:rPr>
        <w:t xml:space="preserve"> Destino una respuesta de aceptación o de rechazo del archivo; de ser aceptado, el Transfer365 procede a enviar el Archivo de Confirmación hacia al </w:t>
      </w:r>
      <w:r w:rsidR="00EB68BE">
        <w:rPr>
          <w:rFonts w:ascii="Arial" w:hAnsi="Arial" w:cs="Arial"/>
          <w:bCs/>
          <w:lang w:val="es-MX"/>
        </w:rPr>
        <w:t>Participante</w:t>
      </w:r>
      <w:r w:rsidRPr="001B40E1">
        <w:rPr>
          <w:rFonts w:ascii="Arial" w:hAnsi="Arial" w:cs="Arial"/>
          <w:bCs/>
          <w:lang w:val="es-MX"/>
        </w:rPr>
        <w:t xml:space="preserve"> Origen para que este a su vez, le notifique al originador que su transferencia de fondos ha sido acreditada al Beneficiario Final, en un máximo de </w:t>
      </w:r>
      <w:r w:rsidR="00370122">
        <w:rPr>
          <w:rFonts w:ascii="Arial" w:hAnsi="Arial" w:cs="Arial"/>
          <w:bCs/>
          <w:lang w:val="es-MX"/>
        </w:rPr>
        <w:t>2</w:t>
      </w:r>
      <w:r w:rsidRPr="001B40E1">
        <w:rPr>
          <w:rFonts w:ascii="Arial" w:hAnsi="Arial" w:cs="Arial"/>
          <w:bCs/>
          <w:lang w:val="es-MX"/>
        </w:rPr>
        <w:t xml:space="preserve"> minutos a partir de la recepción de dicho archivo.</w:t>
      </w:r>
    </w:p>
    <w:p w14:paraId="7B2AA977" w14:textId="31D39E3F" w:rsidR="00A65D91" w:rsidRPr="00A65D91" w:rsidRDefault="00A65D91" w:rsidP="00A65D91">
      <w:pPr>
        <w:pStyle w:val="Standardtext"/>
        <w:numPr>
          <w:ilvl w:val="3"/>
          <w:numId w:val="15"/>
        </w:numPr>
        <w:spacing w:before="240" w:after="240"/>
        <w:ind w:left="2552" w:hanging="992"/>
        <w:jc w:val="both"/>
        <w:rPr>
          <w:rFonts w:ascii="Arial" w:hAnsi="Arial" w:cs="Arial"/>
          <w:b/>
          <w:lang w:val="es-MX"/>
        </w:rPr>
      </w:pPr>
      <w:r w:rsidRPr="00A65D91">
        <w:rPr>
          <w:rFonts w:ascii="Arial" w:hAnsi="Arial" w:cs="Arial"/>
          <w:b/>
          <w:lang w:val="es-MX"/>
        </w:rPr>
        <w:t xml:space="preserve">Reserva de Fondos </w:t>
      </w:r>
    </w:p>
    <w:p w14:paraId="2EB42EE5" w14:textId="77777777" w:rsidR="00A65D91" w:rsidRPr="00A65D91" w:rsidRDefault="00A65D91" w:rsidP="00A65D91">
      <w:pPr>
        <w:pStyle w:val="Standardtext"/>
        <w:spacing w:before="0" w:after="120"/>
        <w:ind w:left="2552"/>
        <w:jc w:val="both"/>
        <w:rPr>
          <w:rFonts w:ascii="Arial" w:hAnsi="Arial" w:cs="Arial"/>
          <w:lang w:val="es-MX"/>
        </w:rPr>
      </w:pPr>
      <w:r w:rsidRPr="00A65D91">
        <w:rPr>
          <w:rFonts w:ascii="Arial" w:hAnsi="Arial" w:cs="Arial"/>
          <w:lang w:val="es-MX"/>
        </w:rPr>
        <w:t>Para los Archivos que se procesen bajo el esquema de liquidación neto, se constituirá por cada participante una Reserva de Fondos en cada ciclo de liquidación en curso, de acuerdo con el horario definido en Anexo 5 del presente Instructivo, y procederá a realizar lo siguiente:</w:t>
      </w:r>
    </w:p>
    <w:p w14:paraId="5177D9FD" w14:textId="53DED330" w:rsidR="00A65D91" w:rsidRPr="00A65D91" w:rsidRDefault="00A65D91" w:rsidP="00A65D91">
      <w:pPr>
        <w:pStyle w:val="Standardtext"/>
        <w:numPr>
          <w:ilvl w:val="4"/>
          <w:numId w:val="15"/>
        </w:numPr>
        <w:spacing w:before="240" w:after="240"/>
        <w:ind w:left="3544" w:hanging="992"/>
        <w:jc w:val="both"/>
        <w:rPr>
          <w:rFonts w:ascii="Arial" w:hAnsi="Arial" w:cs="Arial"/>
          <w:b/>
          <w:lang w:val="es-MX"/>
        </w:rPr>
      </w:pPr>
      <w:r w:rsidRPr="00A65D91">
        <w:rPr>
          <w:rFonts w:ascii="Arial" w:hAnsi="Arial" w:cs="Arial"/>
          <w:b/>
          <w:lang w:val="es-MX"/>
        </w:rPr>
        <w:t>Cálculo de Reserva de Fondos:</w:t>
      </w:r>
      <w:r w:rsidRPr="00A65D91">
        <w:rPr>
          <w:rFonts w:ascii="Arial" w:hAnsi="Arial" w:cs="Arial"/>
          <w:bCs/>
          <w:lang w:val="es-MX"/>
        </w:rPr>
        <w:t xml:space="preserve"> Se realizará la reserva de fondos en la cuenta de depósito de cada participante con base al promedio histórico de la posición de débito de los últimos 30 días calendario o según lo defina el BCR, previa notificación como mínimo 3 días hábiles de antelación a los Participantes.</w:t>
      </w:r>
    </w:p>
    <w:p w14:paraId="7DF28DBB" w14:textId="2658BA72" w:rsidR="00A65D91" w:rsidRPr="00A65D91" w:rsidRDefault="00A65D91" w:rsidP="00A65D91">
      <w:pPr>
        <w:pStyle w:val="Standardtext"/>
        <w:numPr>
          <w:ilvl w:val="4"/>
          <w:numId w:val="15"/>
        </w:numPr>
        <w:spacing w:before="240" w:after="240"/>
        <w:ind w:left="3544" w:hanging="992"/>
        <w:jc w:val="both"/>
        <w:rPr>
          <w:rFonts w:ascii="Arial" w:hAnsi="Arial" w:cs="Arial"/>
          <w:b/>
          <w:lang w:val="es-MX"/>
        </w:rPr>
      </w:pPr>
      <w:r w:rsidRPr="00A65D91">
        <w:rPr>
          <w:rFonts w:ascii="Arial" w:hAnsi="Arial" w:cs="Arial"/>
          <w:b/>
          <w:lang w:val="es-MX"/>
        </w:rPr>
        <w:t xml:space="preserve">Notificación de Reserva de Fondos fallida: </w:t>
      </w:r>
      <w:r w:rsidRPr="00A65D91">
        <w:rPr>
          <w:rFonts w:ascii="Arial" w:hAnsi="Arial" w:cs="Arial"/>
          <w:bCs/>
          <w:lang w:val="es-MX"/>
        </w:rPr>
        <w:t xml:space="preserve">Si la reserva de fondos no puede ser constituida en la cuenta de depósito de un participante, el Sistema dejará en estado “Pendiente”  sus Archivos de Transferencia de Crédito y  notificará al correo </w:t>
      </w:r>
      <w:r w:rsidRPr="00A65D91">
        <w:rPr>
          <w:rFonts w:ascii="Arial" w:hAnsi="Arial" w:cs="Arial"/>
          <w:bCs/>
          <w:lang w:val="es-MX"/>
        </w:rPr>
        <w:lastRenderedPageBreak/>
        <w:t>electrónico configurado para cada Participante y al BCR, con el objetivo que solvente su situación de iliquidez y cuente con los fondos disponibles en su cuenta de depósito en los siguientes reintentos que realizará el Sistema para constituir la reserva de fondos del ciclo de liquidación correspondiente. Una vez el participante con insuficiencia de fondos cuente con la Reserva de Fondos necesaria, sus Archivos de Transferencia de Crédito cambiarán a estado “Completado”.</w:t>
      </w:r>
      <w:r w:rsidRPr="00A65D91">
        <w:rPr>
          <w:rFonts w:ascii="Arial" w:hAnsi="Arial" w:cs="Arial"/>
          <w:b/>
          <w:lang w:val="es-MX"/>
        </w:rPr>
        <w:t xml:space="preserve"> </w:t>
      </w:r>
    </w:p>
    <w:p w14:paraId="60F4BB57" w14:textId="09F9FBB1" w:rsidR="00A65D91" w:rsidRPr="00067BCE" w:rsidRDefault="00A65D91" w:rsidP="00067BCE">
      <w:pPr>
        <w:pStyle w:val="Standardtext"/>
        <w:numPr>
          <w:ilvl w:val="4"/>
          <w:numId w:val="15"/>
        </w:numPr>
        <w:spacing w:before="240" w:after="240"/>
        <w:ind w:left="3544" w:hanging="992"/>
        <w:jc w:val="both"/>
        <w:rPr>
          <w:rFonts w:ascii="Arial" w:hAnsi="Arial" w:cs="Arial"/>
          <w:bCs/>
          <w:lang w:val="es-MX"/>
        </w:rPr>
      </w:pPr>
      <w:r w:rsidRPr="00067BCE">
        <w:rPr>
          <w:rFonts w:ascii="Arial" w:hAnsi="Arial" w:cs="Arial"/>
          <w:b/>
          <w:lang w:val="es-MX"/>
        </w:rPr>
        <w:t xml:space="preserve">Reserva de fondos agotada: </w:t>
      </w:r>
      <w:r w:rsidRPr="00067BCE">
        <w:rPr>
          <w:rFonts w:ascii="Arial" w:hAnsi="Arial" w:cs="Arial"/>
          <w:bCs/>
          <w:lang w:val="es-MX"/>
        </w:rPr>
        <w:t>Si la reserva de fondos de un participante se agota, el Sistema dejará en estado “Pendiente” sus Archivos de Transferencia de Crédito y notificará al correo electrónico configurado para cada Participante y al BCR, con el objetivo que solvente su situación; una vez solventado, sus Archivos de Transferencia de Crédito cambiarán a estado “Completado”.</w:t>
      </w:r>
    </w:p>
    <w:p w14:paraId="227522A9" w14:textId="182DC31E" w:rsidR="00A65D91" w:rsidRDefault="00A65D91" w:rsidP="00067BCE">
      <w:pPr>
        <w:pStyle w:val="Standardtext"/>
        <w:numPr>
          <w:ilvl w:val="3"/>
          <w:numId w:val="15"/>
        </w:numPr>
        <w:spacing w:before="240" w:after="240"/>
        <w:ind w:left="2552" w:hanging="992"/>
        <w:jc w:val="both"/>
        <w:rPr>
          <w:rFonts w:ascii="Arial" w:hAnsi="Arial" w:cs="Arial"/>
          <w:bCs/>
          <w:lang w:val="es-MX"/>
        </w:rPr>
      </w:pPr>
      <w:r w:rsidRPr="005F7809">
        <w:rPr>
          <w:rFonts w:ascii="Arial" w:hAnsi="Arial" w:cs="Arial"/>
          <w:bCs/>
          <w:lang w:val="es-MX"/>
        </w:rPr>
        <w:t>Una vez ejecutado exitosamente la etapa de Reserva de Fondos correspondiente a cada ciclo de liquidación, el Transfer365 procesará los Archivos de: Transferencias</w:t>
      </w:r>
      <w:r w:rsidRPr="00067BCE">
        <w:rPr>
          <w:rFonts w:ascii="Arial" w:hAnsi="Arial" w:cs="Arial"/>
          <w:bCs/>
          <w:lang w:val="es-MX"/>
        </w:rPr>
        <w:t xml:space="preserve"> de Crédito, Devoluciones de Transferencias de Crédito y Confirmación de Transferencias de Crédito, enviados por los participantes, de acuerdo con los numerales 5.5.2.1, 5.5.2.4. y 5.5.2.5.</w:t>
      </w:r>
    </w:p>
    <w:p w14:paraId="218BD45A" w14:textId="429A0748" w:rsidR="00067BCE" w:rsidRPr="00067BCE" w:rsidRDefault="00067BCE" w:rsidP="00067BCE">
      <w:pPr>
        <w:pStyle w:val="Standardtext"/>
        <w:numPr>
          <w:ilvl w:val="3"/>
          <w:numId w:val="15"/>
        </w:numPr>
        <w:spacing w:before="240" w:after="240"/>
        <w:ind w:left="2552" w:hanging="992"/>
        <w:jc w:val="both"/>
        <w:rPr>
          <w:rFonts w:ascii="Arial" w:hAnsi="Arial" w:cs="Arial"/>
          <w:b/>
          <w:lang w:val="es-MX"/>
        </w:rPr>
      </w:pPr>
      <w:r w:rsidRPr="00067BCE">
        <w:rPr>
          <w:rFonts w:ascii="Arial" w:hAnsi="Arial" w:cs="Arial"/>
          <w:b/>
          <w:lang w:val="es-MX"/>
        </w:rPr>
        <w:t>Liquidación del Banco Central para procesos de liquidación neto</w:t>
      </w:r>
    </w:p>
    <w:p w14:paraId="0C5E4F86" w14:textId="18A0379C" w:rsidR="00067BCE" w:rsidRDefault="00067BCE" w:rsidP="00067BCE">
      <w:pPr>
        <w:pStyle w:val="Standardtext"/>
        <w:spacing w:before="240" w:after="240"/>
        <w:ind w:left="2552"/>
        <w:jc w:val="both"/>
        <w:rPr>
          <w:rFonts w:ascii="Arial" w:hAnsi="Arial" w:cs="Arial"/>
          <w:bCs/>
          <w:lang w:val="es-MX"/>
        </w:rPr>
      </w:pPr>
      <w:r w:rsidRPr="00067BCE">
        <w:rPr>
          <w:rFonts w:ascii="Arial" w:hAnsi="Arial" w:cs="Arial"/>
          <w:bCs/>
          <w:lang w:val="es-MX"/>
        </w:rPr>
        <w:t xml:space="preserve">De acuerdo con el horario definido en Anexo 5 del presente Instructivo, el Transfer365 ejecutará la etapa de liquidación, correspondiente al ciclo de liquidación en curso, enviando al LBTR una instrucción de débito o crédito a las cuentas de los Participantes para su liquidación automática, la cual podrá tener los resultados siguientes: </w:t>
      </w:r>
    </w:p>
    <w:p w14:paraId="593CAC49" w14:textId="77777777" w:rsidR="00067BCE" w:rsidRPr="00067BCE" w:rsidRDefault="00067BCE" w:rsidP="00067BCE">
      <w:pPr>
        <w:pStyle w:val="Standardtext"/>
        <w:numPr>
          <w:ilvl w:val="4"/>
          <w:numId w:val="15"/>
        </w:numPr>
        <w:spacing w:before="240" w:after="240"/>
        <w:ind w:left="3544" w:hanging="992"/>
        <w:jc w:val="both"/>
        <w:rPr>
          <w:rFonts w:ascii="Arial" w:hAnsi="Arial" w:cs="Arial"/>
          <w:b/>
          <w:lang w:val="es-MX"/>
        </w:rPr>
      </w:pPr>
      <w:r w:rsidRPr="00067BCE">
        <w:rPr>
          <w:rFonts w:ascii="Arial" w:hAnsi="Arial" w:cs="Arial"/>
          <w:b/>
          <w:lang w:val="es-MX"/>
        </w:rPr>
        <w:t xml:space="preserve">Liquidación Exitosa: </w:t>
      </w:r>
      <w:r w:rsidRPr="00067BCE">
        <w:rPr>
          <w:rFonts w:ascii="Arial" w:hAnsi="Arial" w:cs="Arial"/>
          <w:bCs/>
          <w:lang w:val="es-MX"/>
        </w:rPr>
        <w:t xml:space="preserve">Con base al resultado de la posición multilateral neta del ciclo de liquidación en curso, el Transfer365 procederá a realizar la </w:t>
      </w:r>
      <w:r w:rsidRPr="00067BCE">
        <w:rPr>
          <w:rFonts w:ascii="Arial" w:hAnsi="Arial" w:cs="Arial"/>
          <w:bCs/>
          <w:lang w:val="es-MX"/>
        </w:rPr>
        <w:lastRenderedPageBreak/>
        <w:t>liquidación en el LBTR a la cuenta de depósito de cada Participante.</w:t>
      </w:r>
    </w:p>
    <w:p w14:paraId="43B212E6" w14:textId="609F363E" w:rsidR="00067BCE" w:rsidRPr="00067BCE" w:rsidRDefault="00067BCE" w:rsidP="00067BCE">
      <w:pPr>
        <w:pStyle w:val="Standardtext"/>
        <w:numPr>
          <w:ilvl w:val="4"/>
          <w:numId w:val="15"/>
        </w:numPr>
        <w:spacing w:before="240" w:after="240"/>
        <w:ind w:left="3544" w:hanging="992"/>
        <w:jc w:val="both"/>
        <w:rPr>
          <w:rFonts w:ascii="Arial" w:hAnsi="Arial" w:cs="Arial"/>
          <w:b/>
          <w:lang w:val="es-MX"/>
        </w:rPr>
      </w:pPr>
      <w:r w:rsidRPr="00067BCE">
        <w:rPr>
          <w:rFonts w:ascii="Arial" w:hAnsi="Arial" w:cs="Arial"/>
          <w:b/>
          <w:lang w:val="es-MX"/>
        </w:rPr>
        <w:t xml:space="preserve">Liquidación Fallida: </w:t>
      </w:r>
      <w:r w:rsidRPr="00067BCE">
        <w:rPr>
          <w:rFonts w:ascii="Arial" w:hAnsi="Arial" w:cs="Arial"/>
          <w:bCs/>
          <w:lang w:val="es-MX"/>
        </w:rPr>
        <w:t>Si un Participante con saldo deudor no tiene los fondos suficientes para liquidar sus pagos, el Sistema dejará en estado “Pendiente” sus Archivos de Transferencia de Crédito y notificará al correo electrónico configurado para el Participante y al BCR, con el objetivo que solvente su situación de iliquidez y cuente con los fondos disponibles en su cuenta de depósito. Una vez el Participante solvente su situación de iliquidez, sus Archivos de Transferencia de Crédito cambiarán a estado “Completado”. En los casos que la Liquidación Fallida sea por inconvenientes en el BCR, el Sistema realizará reintentos al LBTR hasta en tanto obtenga una Liquidación Exitosa.</w:t>
      </w:r>
    </w:p>
    <w:p w14:paraId="3231EF93" w14:textId="3BC66552" w:rsidR="00B06597" w:rsidRPr="00BE5FA7" w:rsidRDefault="00897122" w:rsidP="00D2510A">
      <w:pPr>
        <w:pStyle w:val="Standardtext"/>
        <w:numPr>
          <w:ilvl w:val="1"/>
          <w:numId w:val="15"/>
        </w:numPr>
        <w:spacing w:before="240" w:after="240"/>
        <w:ind w:left="851" w:hanging="567"/>
        <w:jc w:val="both"/>
        <w:rPr>
          <w:rFonts w:ascii="Arial" w:hAnsi="Arial" w:cs="Arial"/>
          <w:b/>
          <w:lang w:val="es-MX"/>
        </w:rPr>
      </w:pPr>
      <w:r w:rsidRPr="00BE5FA7">
        <w:rPr>
          <w:rFonts w:ascii="Arial" w:hAnsi="Arial" w:cs="Arial"/>
          <w:b/>
          <w:lang w:val="es-MX"/>
        </w:rPr>
        <w:t xml:space="preserve">Procesamiento de Solicitudes de </w:t>
      </w:r>
      <w:r w:rsidR="00D40081" w:rsidRPr="00BE5FA7">
        <w:rPr>
          <w:rFonts w:ascii="Arial" w:hAnsi="Arial" w:cs="Arial"/>
          <w:b/>
          <w:lang w:val="es-MX"/>
        </w:rPr>
        <w:t>V</w:t>
      </w:r>
      <w:r w:rsidRPr="00BE5FA7">
        <w:rPr>
          <w:rFonts w:ascii="Arial" w:hAnsi="Arial" w:cs="Arial"/>
          <w:b/>
          <w:lang w:val="es-MX"/>
        </w:rPr>
        <w:t xml:space="preserve">erificación de </w:t>
      </w:r>
      <w:r w:rsidR="00D40081" w:rsidRPr="00BE5FA7">
        <w:rPr>
          <w:rFonts w:ascii="Arial" w:hAnsi="Arial" w:cs="Arial"/>
          <w:b/>
          <w:lang w:val="es-MX"/>
        </w:rPr>
        <w:t>C</w:t>
      </w:r>
      <w:r w:rsidRPr="00BE5FA7">
        <w:rPr>
          <w:rFonts w:ascii="Arial" w:hAnsi="Arial" w:cs="Arial"/>
          <w:b/>
          <w:lang w:val="es-MX"/>
        </w:rPr>
        <w:t>uenta.</w:t>
      </w:r>
    </w:p>
    <w:p w14:paraId="34C95D8F" w14:textId="3CBCCDDA" w:rsidR="00897122" w:rsidRPr="00BE5FA7" w:rsidRDefault="00662F32" w:rsidP="00D2510A">
      <w:pPr>
        <w:pStyle w:val="Standardtext"/>
        <w:numPr>
          <w:ilvl w:val="2"/>
          <w:numId w:val="15"/>
        </w:numPr>
        <w:spacing w:before="240" w:after="240"/>
        <w:ind w:left="1560" w:hanging="709"/>
        <w:jc w:val="both"/>
        <w:rPr>
          <w:rFonts w:ascii="Arial" w:hAnsi="Arial" w:cs="Arial"/>
          <w:b/>
          <w:lang w:val="es-MX"/>
        </w:rPr>
      </w:pPr>
      <w:r w:rsidRPr="00BE5FA7">
        <w:rPr>
          <w:rFonts w:ascii="Arial" w:hAnsi="Arial" w:cs="Arial"/>
          <w:b/>
          <w:lang w:val="es-MX"/>
        </w:rPr>
        <w:t xml:space="preserve">Envío de </w:t>
      </w:r>
      <w:r w:rsidR="00D40081" w:rsidRPr="00BE5FA7">
        <w:rPr>
          <w:rFonts w:ascii="Arial" w:hAnsi="Arial" w:cs="Arial"/>
          <w:b/>
          <w:lang w:val="es-MX"/>
        </w:rPr>
        <w:t>A</w:t>
      </w:r>
      <w:r w:rsidRPr="00BE5FA7">
        <w:rPr>
          <w:rFonts w:ascii="Arial" w:hAnsi="Arial" w:cs="Arial"/>
          <w:b/>
          <w:lang w:val="es-MX"/>
        </w:rPr>
        <w:t>rchivos</w:t>
      </w:r>
      <w:r w:rsidR="00897122" w:rsidRPr="00BE5FA7">
        <w:rPr>
          <w:rFonts w:ascii="Arial" w:hAnsi="Arial" w:cs="Arial"/>
          <w:b/>
          <w:lang w:val="es-MX"/>
        </w:rPr>
        <w:t xml:space="preserve"> de </w:t>
      </w:r>
      <w:r w:rsidR="00D40081" w:rsidRPr="00BE5FA7">
        <w:rPr>
          <w:rFonts w:ascii="Arial" w:hAnsi="Arial" w:cs="Arial"/>
          <w:b/>
          <w:lang w:val="es-MX"/>
        </w:rPr>
        <w:t>V</w:t>
      </w:r>
      <w:r w:rsidR="00897122" w:rsidRPr="00BE5FA7">
        <w:rPr>
          <w:rFonts w:ascii="Arial" w:hAnsi="Arial" w:cs="Arial"/>
          <w:b/>
          <w:lang w:val="es-MX"/>
        </w:rPr>
        <w:t xml:space="preserve">erificación de </w:t>
      </w:r>
      <w:r w:rsidR="00D40081" w:rsidRPr="00BE5FA7">
        <w:rPr>
          <w:rFonts w:ascii="Arial" w:hAnsi="Arial" w:cs="Arial"/>
          <w:b/>
          <w:lang w:val="es-MX"/>
        </w:rPr>
        <w:t>C</w:t>
      </w:r>
      <w:r w:rsidR="00897122" w:rsidRPr="00BE5FA7">
        <w:rPr>
          <w:rFonts w:ascii="Arial" w:hAnsi="Arial" w:cs="Arial"/>
          <w:b/>
          <w:lang w:val="es-MX"/>
        </w:rPr>
        <w:t>uenta.</w:t>
      </w:r>
    </w:p>
    <w:p w14:paraId="7FF433A5" w14:textId="77777777" w:rsidR="00887A53" w:rsidRDefault="00DA5F1B" w:rsidP="00D2510A">
      <w:pPr>
        <w:pStyle w:val="Standardtext"/>
        <w:numPr>
          <w:ilvl w:val="3"/>
          <w:numId w:val="15"/>
        </w:numPr>
        <w:spacing w:before="240" w:after="240"/>
        <w:ind w:left="2552" w:hanging="992"/>
        <w:jc w:val="both"/>
        <w:rPr>
          <w:rFonts w:ascii="Arial" w:hAnsi="Arial" w:cs="Arial"/>
          <w:lang w:val="es-MX"/>
        </w:rPr>
      </w:pPr>
      <w:r w:rsidRPr="00DA5F1B">
        <w:rPr>
          <w:rFonts w:ascii="Arial" w:hAnsi="Arial" w:cs="Arial"/>
          <w:lang w:val="es-MX"/>
        </w:rPr>
        <w:t xml:space="preserve">El </w:t>
      </w:r>
      <w:r w:rsidR="00EB68BE">
        <w:rPr>
          <w:rFonts w:ascii="Arial" w:hAnsi="Arial" w:cs="Arial"/>
          <w:lang w:val="es-MX"/>
        </w:rPr>
        <w:t>Participante</w:t>
      </w:r>
      <w:r w:rsidRPr="00DA5F1B">
        <w:rPr>
          <w:rFonts w:ascii="Arial" w:hAnsi="Arial" w:cs="Arial"/>
          <w:lang w:val="es-MX"/>
        </w:rPr>
        <w:t xml:space="preserve"> Origen podrá enviar al Transfer365, los Archivos de Verificación de Cuentas de acuerdo con los horarios de servicio establecidos en el numeral 5.5.1 del presente instructivo.  Las solicitudes de verificación de cuentas son de carácter opcional por parte del </w:t>
      </w:r>
      <w:r w:rsidR="00EB68BE">
        <w:rPr>
          <w:rFonts w:ascii="Arial" w:hAnsi="Arial" w:cs="Arial"/>
          <w:lang w:val="es-MX"/>
        </w:rPr>
        <w:t>Participante</w:t>
      </w:r>
      <w:r w:rsidRPr="00DA5F1B">
        <w:rPr>
          <w:rFonts w:ascii="Arial" w:hAnsi="Arial" w:cs="Arial"/>
          <w:lang w:val="es-MX"/>
        </w:rPr>
        <w:t xml:space="preserve"> Origen,</w:t>
      </w:r>
      <w:r w:rsidR="000623DA">
        <w:rPr>
          <w:rFonts w:ascii="Arial" w:hAnsi="Arial" w:cs="Arial"/>
          <w:lang w:val="es-MX"/>
        </w:rPr>
        <w:t xml:space="preserve"> por lo que</w:t>
      </w:r>
      <w:r w:rsidRPr="00DA5F1B">
        <w:rPr>
          <w:rFonts w:ascii="Arial" w:hAnsi="Arial" w:cs="Arial"/>
          <w:lang w:val="es-MX"/>
        </w:rPr>
        <w:t xml:space="preserve"> el no realizarla no limita al </w:t>
      </w:r>
      <w:r w:rsidR="00EB68BE">
        <w:rPr>
          <w:rFonts w:ascii="Arial" w:hAnsi="Arial" w:cs="Arial"/>
          <w:lang w:val="es-MX"/>
        </w:rPr>
        <w:t>Participante</w:t>
      </w:r>
      <w:r w:rsidRPr="00DA5F1B">
        <w:rPr>
          <w:rFonts w:ascii="Arial" w:hAnsi="Arial" w:cs="Arial"/>
          <w:lang w:val="es-MX"/>
        </w:rPr>
        <w:t xml:space="preserve"> a enviar transferencias de fondos. No se deberá incluir en un mismo archivo solicitudes de validación de cuentas para diferentes </w:t>
      </w:r>
      <w:r w:rsidR="00EB68BE">
        <w:rPr>
          <w:rFonts w:ascii="Arial" w:hAnsi="Arial" w:cs="Arial"/>
          <w:lang w:val="es-MX"/>
        </w:rPr>
        <w:t>Participante</w:t>
      </w:r>
      <w:r w:rsidRPr="00DA5F1B">
        <w:rPr>
          <w:rFonts w:ascii="Arial" w:hAnsi="Arial" w:cs="Arial"/>
          <w:lang w:val="es-MX"/>
        </w:rPr>
        <w:t>s destinos.</w:t>
      </w:r>
    </w:p>
    <w:p w14:paraId="566E4E1B" w14:textId="77777777" w:rsidR="00C75303" w:rsidRDefault="00C75303" w:rsidP="00C75303">
      <w:pPr>
        <w:pStyle w:val="Standardtext"/>
        <w:numPr>
          <w:ilvl w:val="3"/>
          <w:numId w:val="15"/>
        </w:numPr>
        <w:spacing w:before="240" w:after="240"/>
        <w:ind w:left="2552" w:hanging="992"/>
        <w:jc w:val="both"/>
        <w:rPr>
          <w:rFonts w:ascii="Arial" w:hAnsi="Arial" w:cs="Arial"/>
          <w:lang w:val="es-MX"/>
        </w:rPr>
      </w:pPr>
      <w:r w:rsidRPr="00B61E08">
        <w:rPr>
          <w:rFonts w:ascii="Arial" w:hAnsi="Arial" w:cs="Arial"/>
          <w:lang w:val="es-MX"/>
        </w:rPr>
        <w:t xml:space="preserve">Una vez recibidos los archivos, el Transfer365 realizará las validaciones de formato y de condiciones de operación, enviando al </w:t>
      </w:r>
      <w:r>
        <w:rPr>
          <w:rFonts w:ascii="Arial" w:hAnsi="Arial" w:cs="Arial"/>
          <w:lang w:val="es-MX"/>
        </w:rPr>
        <w:t>Participante</w:t>
      </w:r>
      <w:r w:rsidRPr="00B61E08">
        <w:rPr>
          <w:rFonts w:ascii="Arial" w:hAnsi="Arial" w:cs="Arial"/>
          <w:lang w:val="es-MX"/>
        </w:rPr>
        <w:t xml:space="preserve"> Origen una respuesta de aceptación o de rechazo del archivo completo o el rechazo de ítems que no cumplen con las validaciones, procediendo a enviar los archivos de verificación de cuentas al </w:t>
      </w:r>
      <w:r>
        <w:rPr>
          <w:rFonts w:ascii="Arial" w:hAnsi="Arial" w:cs="Arial"/>
          <w:lang w:val="es-MX"/>
        </w:rPr>
        <w:t>Participante</w:t>
      </w:r>
      <w:r w:rsidRPr="00B61E08">
        <w:rPr>
          <w:rFonts w:ascii="Arial" w:hAnsi="Arial" w:cs="Arial"/>
          <w:lang w:val="es-MX"/>
        </w:rPr>
        <w:t xml:space="preserve"> Destino</w:t>
      </w:r>
      <w:r>
        <w:rPr>
          <w:rFonts w:ascii="Arial" w:hAnsi="Arial" w:cs="Arial"/>
          <w:lang w:val="es-MX"/>
        </w:rPr>
        <w:t>,</w:t>
      </w:r>
      <w:r w:rsidRPr="00B61E08">
        <w:rPr>
          <w:rFonts w:ascii="Arial" w:hAnsi="Arial" w:cs="Arial"/>
          <w:lang w:val="es-MX"/>
        </w:rPr>
        <w:t xml:space="preserve"> de acuerdo con los horarios de servicio establecidos en el numeral 5.5.1 del presente instructivo.</w:t>
      </w:r>
    </w:p>
    <w:p w14:paraId="442A3418" w14:textId="77777777" w:rsidR="005E7B1F" w:rsidRDefault="005E7B1F" w:rsidP="005E7B1F">
      <w:pPr>
        <w:pStyle w:val="Standardtext"/>
        <w:spacing w:before="240" w:after="240"/>
        <w:ind w:left="2552"/>
        <w:jc w:val="both"/>
        <w:rPr>
          <w:rFonts w:ascii="Arial" w:hAnsi="Arial" w:cs="Arial"/>
          <w:lang w:val="es-MX"/>
        </w:rPr>
      </w:pPr>
    </w:p>
    <w:p w14:paraId="751E969F" w14:textId="74EC3394" w:rsidR="00897122" w:rsidRPr="00BE5FA7" w:rsidRDefault="004538E6" w:rsidP="00D2510A">
      <w:pPr>
        <w:pStyle w:val="Standardtext"/>
        <w:numPr>
          <w:ilvl w:val="2"/>
          <w:numId w:val="15"/>
        </w:numPr>
        <w:spacing w:before="240" w:after="240"/>
        <w:ind w:left="1560" w:hanging="709"/>
        <w:jc w:val="both"/>
        <w:rPr>
          <w:rFonts w:ascii="Arial" w:hAnsi="Arial" w:cs="Arial"/>
          <w:b/>
          <w:lang w:val="es-MX"/>
        </w:rPr>
      </w:pPr>
      <w:r w:rsidRPr="00BE5FA7">
        <w:rPr>
          <w:rFonts w:ascii="Arial" w:hAnsi="Arial" w:cs="Arial"/>
          <w:b/>
          <w:lang w:val="es-MX"/>
        </w:rPr>
        <w:lastRenderedPageBreak/>
        <w:t xml:space="preserve">Envío de </w:t>
      </w:r>
      <w:r w:rsidR="003F3309" w:rsidRPr="00BE5FA7">
        <w:rPr>
          <w:rFonts w:ascii="Arial" w:hAnsi="Arial" w:cs="Arial"/>
          <w:b/>
          <w:lang w:val="es-MX"/>
        </w:rPr>
        <w:t xml:space="preserve">Respuesta de </w:t>
      </w:r>
      <w:r w:rsidR="00D40081" w:rsidRPr="00BE5FA7">
        <w:rPr>
          <w:rFonts w:ascii="Arial" w:hAnsi="Arial" w:cs="Arial"/>
          <w:b/>
          <w:lang w:val="es-MX"/>
        </w:rPr>
        <w:t>A</w:t>
      </w:r>
      <w:r w:rsidRPr="00BE5FA7">
        <w:rPr>
          <w:rFonts w:ascii="Arial" w:hAnsi="Arial" w:cs="Arial"/>
          <w:b/>
          <w:lang w:val="es-MX"/>
        </w:rPr>
        <w:t xml:space="preserve">rchivos de </w:t>
      </w:r>
      <w:r w:rsidR="00D40081" w:rsidRPr="00BE5FA7">
        <w:rPr>
          <w:rFonts w:ascii="Arial" w:hAnsi="Arial" w:cs="Arial"/>
          <w:b/>
          <w:lang w:val="es-MX"/>
        </w:rPr>
        <w:t>V</w:t>
      </w:r>
      <w:r w:rsidRPr="00BE5FA7">
        <w:rPr>
          <w:rFonts w:ascii="Arial" w:hAnsi="Arial" w:cs="Arial"/>
          <w:b/>
          <w:lang w:val="es-MX"/>
        </w:rPr>
        <w:t xml:space="preserve">erificación de </w:t>
      </w:r>
      <w:r w:rsidR="00D40081" w:rsidRPr="00BE5FA7">
        <w:rPr>
          <w:rFonts w:ascii="Arial" w:hAnsi="Arial" w:cs="Arial"/>
          <w:b/>
          <w:lang w:val="es-MX"/>
        </w:rPr>
        <w:t>C</w:t>
      </w:r>
      <w:r w:rsidRPr="00BE5FA7">
        <w:rPr>
          <w:rFonts w:ascii="Arial" w:hAnsi="Arial" w:cs="Arial"/>
          <w:b/>
          <w:lang w:val="es-MX"/>
        </w:rPr>
        <w:t>uenta</w:t>
      </w:r>
      <w:r w:rsidR="003F3309" w:rsidRPr="00BE5FA7">
        <w:rPr>
          <w:rFonts w:ascii="Arial" w:hAnsi="Arial" w:cs="Arial"/>
          <w:b/>
          <w:lang w:val="es-MX"/>
        </w:rPr>
        <w:t>s</w:t>
      </w:r>
      <w:r w:rsidRPr="00BE5FA7">
        <w:rPr>
          <w:rFonts w:ascii="Arial" w:hAnsi="Arial" w:cs="Arial"/>
          <w:b/>
          <w:lang w:val="es-MX"/>
        </w:rPr>
        <w:t>.</w:t>
      </w:r>
    </w:p>
    <w:p w14:paraId="31854561" w14:textId="03226AA3" w:rsidR="004538E6" w:rsidRPr="00BE5FA7" w:rsidRDefault="00966B8F" w:rsidP="00D2510A">
      <w:pPr>
        <w:pStyle w:val="Standardtext"/>
        <w:numPr>
          <w:ilvl w:val="3"/>
          <w:numId w:val="15"/>
        </w:numPr>
        <w:spacing w:before="240" w:after="240"/>
        <w:ind w:left="2552" w:hanging="992"/>
        <w:jc w:val="both"/>
        <w:rPr>
          <w:rFonts w:ascii="Arial" w:hAnsi="Arial" w:cs="Arial"/>
          <w:lang w:val="es-MX"/>
        </w:rPr>
      </w:pPr>
      <w:r w:rsidRPr="00966B8F">
        <w:rPr>
          <w:rFonts w:ascii="Arial" w:hAnsi="Arial" w:cs="Arial"/>
          <w:lang w:val="es-MX"/>
        </w:rPr>
        <w:t xml:space="preserve">Una vez recibido los archivos de verificación de cuentas el </w:t>
      </w:r>
      <w:r w:rsidR="00EB68BE">
        <w:rPr>
          <w:rFonts w:ascii="Arial" w:hAnsi="Arial" w:cs="Arial"/>
          <w:lang w:val="es-MX"/>
        </w:rPr>
        <w:t>Participante</w:t>
      </w:r>
      <w:r w:rsidRPr="00966B8F">
        <w:rPr>
          <w:rFonts w:ascii="Arial" w:hAnsi="Arial" w:cs="Arial"/>
          <w:lang w:val="es-MX"/>
        </w:rPr>
        <w:t xml:space="preserve"> Destino, verificará y validará las cuentas, debiendo enviar al Transfer365 las respuestas en los horarios de servicio establecidos en el numeral 5.5.1 del presente instructivo.  </w:t>
      </w:r>
    </w:p>
    <w:p w14:paraId="210AB979" w14:textId="337A1C6B" w:rsidR="00C75303" w:rsidRPr="00BE5FA7" w:rsidRDefault="00C75303" w:rsidP="00D2510A">
      <w:pPr>
        <w:pStyle w:val="Standardtext"/>
        <w:numPr>
          <w:ilvl w:val="3"/>
          <w:numId w:val="15"/>
        </w:numPr>
        <w:spacing w:before="240" w:after="240"/>
        <w:ind w:left="2552" w:hanging="992"/>
        <w:jc w:val="both"/>
        <w:rPr>
          <w:rFonts w:ascii="Arial" w:hAnsi="Arial" w:cs="Arial"/>
          <w:lang w:val="es-MX"/>
        </w:rPr>
      </w:pPr>
      <w:r w:rsidRPr="00C75303">
        <w:rPr>
          <w:rFonts w:ascii="Arial" w:hAnsi="Arial" w:cs="Arial"/>
          <w:lang w:val="es-MX"/>
        </w:rPr>
        <w:t>Para el caso de operaciones del Ministerio de Hacienda los Participantes Destinos deberán verificar que la cuenta y el Número de Identificación Tributaria (NIT) o Documento Único de Identidad que ha sido homologado, se encuentren asociados.</w:t>
      </w:r>
    </w:p>
    <w:p w14:paraId="6531694F" w14:textId="48C08374" w:rsidR="00513D5C" w:rsidRDefault="0098578D" w:rsidP="00705950">
      <w:pPr>
        <w:pStyle w:val="Standardtext"/>
        <w:numPr>
          <w:ilvl w:val="3"/>
          <w:numId w:val="15"/>
        </w:numPr>
        <w:spacing w:before="240" w:after="240"/>
        <w:ind w:left="2552" w:hanging="992"/>
        <w:jc w:val="both"/>
        <w:rPr>
          <w:rFonts w:ascii="Arial" w:hAnsi="Arial" w:cs="Arial"/>
          <w:lang w:val="es-MX"/>
        </w:rPr>
      </w:pPr>
      <w:bookmarkStart w:id="87" w:name="_Toc5699724"/>
      <w:bookmarkStart w:id="88" w:name="_Toc5897972"/>
      <w:r w:rsidRPr="0098578D">
        <w:rPr>
          <w:rFonts w:ascii="Arial" w:hAnsi="Arial" w:cs="Arial"/>
          <w:lang w:val="es-MX"/>
        </w:rPr>
        <w:t xml:space="preserve">Habiendo recibido los archivos, el Transfer365 realizará las validaciones del formato y de las condiciones de operación, enviando al </w:t>
      </w:r>
      <w:r w:rsidR="00EB68BE">
        <w:rPr>
          <w:rFonts w:ascii="Arial" w:hAnsi="Arial" w:cs="Arial"/>
          <w:lang w:val="es-MX"/>
        </w:rPr>
        <w:t>Participante</w:t>
      </w:r>
      <w:r w:rsidRPr="0098578D">
        <w:rPr>
          <w:rFonts w:ascii="Arial" w:hAnsi="Arial" w:cs="Arial"/>
          <w:lang w:val="es-MX"/>
        </w:rPr>
        <w:t xml:space="preserve"> Destino una respuesta de aceptación o de rechazo del archivo completo o el rechazo de registros que no cumplen con las validaciones. Posteriormente, el Sistema enviará al </w:t>
      </w:r>
      <w:r w:rsidR="00EB68BE">
        <w:rPr>
          <w:rFonts w:ascii="Arial" w:hAnsi="Arial" w:cs="Arial"/>
          <w:lang w:val="es-MX"/>
        </w:rPr>
        <w:t>Participante</w:t>
      </w:r>
      <w:r w:rsidRPr="0098578D">
        <w:rPr>
          <w:rFonts w:ascii="Arial" w:hAnsi="Arial" w:cs="Arial"/>
          <w:lang w:val="es-MX"/>
        </w:rPr>
        <w:t xml:space="preserve"> Origen los archivos válidamente aceptados.</w:t>
      </w:r>
    </w:p>
    <w:p w14:paraId="75D11154" w14:textId="52829B63" w:rsidR="00D62852" w:rsidRPr="00BE5FA7" w:rsidRDefault="00D62852" w:rsidP="00D62852">
      <w:pPr>
        <w:pStyle w:val="Standardtext"/>
        <w:numPr>
          <w:ilvl w:val="1"/>
          <w:numId w:val="15"/>
        </w:numPr>
        <w:spacing w:before="240" w:after="240"/>
        <w:ind w:left="851" w:hanging="567"/>
        <w:jc w:val="both"/>
        <w:rPr>
          <w:rFonts w:ascii="Arial" w:hAnsi="Arial" w:cs="Arial"/>
          <w:b/>
          <w:bCs/>
          <w:lang w:val="es-MX"/>
        </w:rPr>
      </w:pPr>
      <w:r w:rsidRPr="00BE5FA7">
        <w:rPr>
          <w:rFonts w:ascii="Arial" w:hAnsi="Arial" w:cs="Arial"/>
          <w:b/>
          <w:bCs/>
          <w:lang w:val="es-MX"/>
        </w:rPr>
        <w:t>Contingencias</w:t>
      </w:r>
    </w:p>
    <w:p w14:paraId="7092C032" w14:textId="7148FC46" w:rsidR="00D62852" w:rsidRPr="00BE5FA7" w:rsidRDefault="002739AA" w:rsidP="00D62852">
      <w:pPr>
        <w:pStyle w:val="Standardtext"/>
        <w:numPr>
          <w:ilvl w:val="2"/>
          <w:numId w:val="15"/>
        </w:numPr>
        <w:spacing w:before="240" w:after="240"/>
        <w:ind w:left="1560" w:hanging="709"/>
        <w:jc w:val="both"/>
        <w:rPr>
          <w:rFonts w:ascii="Arial" w:hAnsi="Arial" w:cs="Arial"/>
          <w:lang w:val="es-MX"/>
        </w:rPr>
      </w:pPr>
      <w:r w:rsidRPr="002739AA">
        <w:rPr>
          <w:rFonts w:ascii="Arial" w:hAnsi="Arial" w:cs="Arial"/>
          <w:lang w:val="es-MX"/>
        </w:rPr>
        <w:t xml:space="preserve">En el caso de falla en el proceso automático (STP) de los sistemas de los </w:t>
      </w:r>
      <w:r w:rsidR="00EB68BE">
        <w:rPr>
          <w:rFonts w:ascii="Arial" w:hAnsi="Arial" w:cs="Arial"/>
          <w:lang w:val="es-MX"/>
        </w:rPr>
        <w:t>Participante</w:t>
      </w:r>
      <w:r w:rsidRPr="002739AA">
        <w:rPr>
          <w:rFonts w:ascii="Arial" w:hAnsi="Arial" w:cs="Arial"/>
          <w:lang w:val="es-MX"/>
        </w:rPr>
        <w:t>s, deberán utilizar como mecanismo de contingencia:</w:t>
      </w:r>
    </w:p>
    <w:p w14:paraId="644D194C" w14:textId="4866DDE4" w:rsidR="00EB3CB8" w:rsidRPr="00BE5FA7" w:rsidRDefault="00C74D9D" w:rsidP="00844CD0">
      <w:pPr>
        <w:pStyle w:val="Standardtext"/>
        <w:numPr>
          <w:ilvl w:val="3"/>
          <w:numId w:val="15"/>
        </w:numPr>
        <w:spacing w:before="240" w:after="240"/>
        <w:ind w:left="2410" w:hanging="850"/>
        <w:jc w:val="both"/>
        <w:rPr>
          <w:rFonts w:ascii="Arial" w:hAnsi="Arial" w:cs="Arial"/>
          <w:lang w:val="es-MX"/>
        </w:rPr>
      </w:pPr>
      <w:r w:rsidRPr="00C74D9D">
        <w:rPr>
          <w:rFonts w:ascii="Arial" w:hAnsi="Arial" w:cs="Arial"/>
          <w:lang w:val="es-MX"/>
        </w:rPr>
        <w:t>Descargar de su sistema interno los Archivos de Transferencia de Crédito y los Archivos de Devoluciones de Transferencia de Crédito y cargarlos en el componente PO, para el envío al Transfer365.</w:t>
      </w:r>
    </w:p>
    <w:p w14:paraId="7CD07656" w14:textId="42C44BA3" w:rsidR="00EB3CB8" w:rsidRDefault="008961A1" w:rsidP="003E1DCD">
      <w:pPr>
        <w:pStyle w:val="Standardtext"/>
        <w:numPr>
          <w:ilvl w:val="3"/>
          <w:numId w:val="15"/>
        </w:numPr>
        <w:spacing w:before="240" w:after="240"/>
        <w:ind w:left="2410" w:hanging="850"/>
        <w:jc w:val="both"/>
        <w:rPr>
          <w:rFonts w:ascii="Arial" w:hAnsi="Arial" w:cs="Arial"/>
          <w:lang w:val="es-MX"/>
        </w:rPr>
      </w:pPr>
      <w:r w:rsidRPr="0036020E">
        <w:rPr>
          <w:rFonts w:ascii="Arial" w:hAnsi="Arial" w:cs="Arial"/>
          <w:lang w:val="es-MX"/>
        </w:rPr>
        <w:t>Descargar del Transfer365 los Archivos de Transferencias de Crédito propios para cargarlos en su sistema interno y su procesamiento, así como los Archivos de Transferencias d</w:t>
      </w:r>
      <w:r w:rsidR="0036020E" w:rsidRPr="0036020E">
        <w:rPr>
          <w:rFonts w:ascii="Arial" w:hAnsi="Arial" w:cs="Arial"/>
          <w:lang w:val="es-MX"/>
        </w:rPr>
        <w:t>e</w:t>
      </w:r>
      <w:r w:rsidR="0036020E">
        <w:rPr>
          <w:rFonts w:ascii="Arial" w:hAnsi="Arial" w:cs="Arial"/>
          <w:lang w:val="es-MX"/>
        </w:rPr>
        <w:t xml:space="preserve"> </w:t>
      </w:r>
      <w:r w:rsidRPr="0036020E">
        <w:rPr>
          <w:rFonts w:ascii="Arial" w:hAnsi="Arial" w:cs="Arial"/>
          <w:lang w:val="es-MX"/>
        </w:rPr>
        <w:t xml:space="preserve">Devoluciones de Transferencias de Créditos por los demás </w:t>
      </w:r>
      <w:r w:rsidR="00EB68BE" w:rsidRPr="0036020E">
        <w:rPr>
          <w:rFonts w:ascii="Arial" w:hAnsi="Arial" w:cs="Arial"/>
          <w:lang w:val="es-MX"/>
        </w:rPr>
        <w:t>Participante</w:t>
      </w:r>
      <w:r w:rsidRPr="0036020E">
        <w:rPr>
          <w:rFonts w:ascii="Arial" w:hAnsi="Arial" w:cs="Arial"/>
          <w:lang w:val="es-MX"/>
        </w:rPr>
        <w:t>s.</w:t>
      </w:r>
    </w:p>
    <w:p w14:paraId="6458B980" w14:textId="551FB766" w:rsidR="00EB3CB8" w:rsidRPr="00BE5FA7" w:rsidRDefault="00E16564" w:rsidP="00D2510A">
      <w:pPr>
        <w:pStyle w:val="Standardtext"/>
        <w:numPr>
          <w:ilvl w:val="2"/>
          <w:numId w:val="15"/>
        </w:numPr>
        <w:spacing w:before="240" w:after="240"/>
        <w:ind w:left="1560" w:hanging="709"/>
        <w:jc w:val="both"/>
        <w:rPr>
          <w:rFonts w:ascii="Arial" w:hAnsi="Arial" w:cs="Arial"/>
          <w:lang w:val="es-MX"/>
        </w:rPr>
      </w:pPr>
      <w:r w:rsidRPr="00E16564">
        <w:rPr>
          <w:rFonts w:ascii="Arial" w:hAnsi="Arial" w:cs="Arial"/>
          <w:lang w:val="es-MX"/>
        </w:rPr>
        <w:t xml:space="preserve">En el caso de fallas en el enlace de comunicación primario, los </w:t>
      </w:r>
      <w:r w:rsidR="00EB68BE">
        <w:rPr>
          <w:rFonts w:ascii="Arial" w:hAnsi="Arial" w:cs="Arial"/>
          <w:lang w:val="es-MX"/>
        </w:rPr>
        <w:t>Participante</w:t>
      </w:r>
      <w:r w:rsidRPr="00E16564">
        <w:rPr>
          <w:rFonts w:ascii="Arial" w:hAnsi="Arial" w:cs="Arial"/>
          <w:lang w:val="es-MX"/>
        </w:rPr>
        <w:t xml:space="preserve">s deberán habilitar de forma automática el enlace de comunicación secundario, para la continuidad en la remisión </w:t>
      </w:r>
      <w:r w:rsidR="000623DA" w:rsidRPr="00E16564">
        <w:rPr>
          <w:rFonts w:ascii="Arial" w:hAnsi="Arial" w:cs="Arial"/>
          <w:lang w:val="es-MX"/>
        </w:rPr>
        <w:t>al Transfer365</w:t>
      </w:r>
      <w:r w:rsidR="000623DA">
        <w:rPr>
          <w:rFonts w:ascii="Arial" w:hAnsi="Arial" w:cs="Arial"/>
          <w:lang w:val="es-MX"/>
        </w:rPr>
        <w:t xml:space="preserve"> </w:t>
      </w:r>
      <w:r w:rsidRPr="00E16564">
        <w:rPr>
          <w:rFonts w:ascii="Arial" w:hAnsi="Arial" w:cs="Arial"/>
          <w:lang w:val="es-MX"/>
        </w:rPr>
        <w:t>de los Archivos de Transferencias de Crédito.</w:t>
      </w:r>
    </w:p>
    <w:p w14:paraId="3AD151DF" w14:textId="5E7334A4" w:rsidR="00EB3CB8" w:rsidRDefault="0025231C" w:rsidP="00D2510A">
      <w:pPr>
        <w:pStyle w:val="Standardtext"/>
        <w:numPr>
          <w:ilvl w:val="2"/>
          <w:numId w:val="15"/>
        </w:numPr>
        <w:spacing w:before="240" w:after="240"/>
        <w:ind w:left="1560" w:hanging="709"/>
        <w:jc w:val="both"/>
        <w:rPr>
          <w:rFonts w:ascii="Arial" w:hAnsi="Arial" w:cs="Arial"/>
          <w:lang w:val="es-MX"/>
        </w:rPr>
      </w:pPr>
      <w:r w:rsidRPr="0025231C">
        <w:rPr>
          <w:rFonts w:ascii="Arial" w:hAnsi="Arial" w:cs="Arial"/>
          <w:lang w:val="es-MX"/>
        </w:rPr>
        <w:lastRenderedPageBreak/>
        <w:t xml:space="preserve">Ante una pérdida de comunicación total de los </w:t>
      </w:r>
      <w:r w:rsidR="00EB68BE">
        <w:rPr>
          <w:rFonts w:ascii="Arial" w:hAnsi="Arial" w:cs="Arial"/>
          <w:lang w:val="es-MX"/>
        </w:rPr>
        <w:t>Participante</w:t>
      </w:r>
      <w:r w:rsidRPr="0025231C">
        <w:rPr>
          <w:rFonts w:ascii="Arial" w:hAnsi="Arial" w:cs="Arial"/>
          <w:lang w:val="es-MX"/>
        </w:rPr>
        <w:t>s</w:t>
      </w:r>
      <w:r w:rsidR="00443A18">
        <w:rPr>
          <w:rFonts w:ascii="Arial" w:hAnsi="Arial" w:cs="Arial"/>
          <w:lang w:val="es-MX"/>
        </w:rPr>
        <w:t>,</w:t>
      </w:r>
      <w:r w:rsidRPr="0025231C">
        <w:rPr>
          <w:rFonts w:ascii="Arial" w:hAnsi="Arial" w:cs="Arial"/>
          <w:lang w:val="es-MX"/>
        </w:rPr>
        <w:t xml:space="preserve"> se habilitará en las instalaciones del BCR una estación de trabajo, con el fin de que los </w:t>
      </w:r>
      <w:r w:rsidR="00EB68BE">
        <w:rPr>
          <w:rFonts w:ascii="Arial" w:hAnsi="Arial" w:cs="Arial"/>
          <w:lang w:val="es-MX"/>
        </w:rPr>
        <w:t>Participante</w:t>
      </w:r>
      <w:r w:rsidRPr="0025231C">
        <w:rPr>
          <w:rFonts w:ascii="Arial" w:hAnsi="Arial" w:cs="Arial"/>
          <w:lang w:val="es-MX"/>
        </w:rPr>
        <w:t>s registren o carguen de forma manual sus Archivos de Transferencias de Crédito y/o Devoluciones, en horario diario de 8:</w:t>
      </w:r>
      <w:r w:rsidR="00443A18">
        <w:rPr>
          <w:rFonts w:ascii="Arial" w:hAnsi="Arial" w:cs="Arial"/>
          <w:lang w:val="es-MX"/>
        </w:rPr>
        <w:t>0</w:t>
      </w:r>
      <w:r w:rsidRPr="0025231C">
        <w:rPr>
          <w:rFonts w:ascii="Arial" w:hAnsi="Arial" w:cs="Arial"/>
          <w:lang w:val="es-MX"/>
        </w:rPr>
        <w:t xml:space="preserve">0 a.m. a 6:00 p.m. Para poder realizar dicho registro o carga en el PO, los </w:t>
      </w:r>
      <w:r w:rsidR="00EB68BE">
        <w:rPr>
          <w:rFonts w:ascii="Arial" w:hAnsi="Arial" w:cs="Arial"/>
          <w:lang w:val="es-MX"/>
        </w:rPr>
        <w:t>Participante</w:t>
      </w:r>
      <w:r w:rsidRPr="0025231C">
        <w:rPr>
          <w:rFonts w:ascii="Arial" w:hAnsi="Arial" w:cs="Arial"/>
          <w:lang w:val="es-MX"/>
        </w:rPr>
        <w:t>s deberán traer en un dispositivo de almacenamiento con sus Archivos de Transferencias de Crédito y/o Devoluciones. Podrán descargar a través del Transfer365 los Archivos de Transferencias de Crédito y/o Devoluciones que otras instituciones les han enviado.</w:t>
      </w:r>
    </w:p>
    <w:p w14:paraId="0B3EA0D8" w14:textId="0745A09D" w:rsidR="00EB3CB8" w:rsidRPr="00BE5FA7" w:rsidRDefault="00E03DF8" w:rsidP="00D2510A">
      <w:pPr>
        <w:pStyle w:val="Standardtext"/>
        <w:numPr>
          <w:ilvl w:val="2"/>
          <w:numId w:val="15"/>
        </w:numPr>
        <w:spacing w:before="240" w:after="240"/>
        <w:ind w:left="1560" w:hanging="709"/>
        <w:jc w:val="both"/>
        <w:rPr>
          <w:rFonts w:ascii="Arial" w:hAnsi="Arial" w:cs="Arial"/>
          <w:lang w:val="es-MX"/>
        </w:rPr>
      </w:pPr>
      <w:r w:rsidRPr="00E03DF8">
        <w:rPr>
          <w:rFonts w:ascii="Arial" w:hAnsi="Arial" w:cs="Arial"/>
          <w:lang w:val="es-MX"/>
        </w:rPr>
        <w:t xml:space="preserve">Los usuarios designados en los numerales 5.2.6 serán los autorizados para ingresar a las instalaciones del BCR para cargar </w:t>
      </w:r>
      <w:r w:rsidR="00443A18" w:rsidRPr="00E03DF8">
        <w:rPr>
          <w:rFonts w:ascii="Arial" w:hAnsi="Arial" w:cs="Arial"/>
          <w:lang w:val="es-MX"/>
        </w:rPr>
        <w:t xml:space="preserve">en contingencia </w:t>
      </w:r>
      <w:r w:rsidRPr="00E03DF8">
        <w:rPr>
          <w:rFonts w:ascii="Arial" w:hAnsi="Arial" w:cs="Arial"/>
          <w:lang w:val="es-MX"/>
        </w:rPr>
        <w:t>los archivos en el Transfer365.</w:t>
      </w:r>
    </w:p>
    <w:p w14:paraId="3547C791" w14:textId="3D24DADE" w:rsidR="003A0744" w:rsidRDefault="00F867B6" w:rsidP="003A0744">
      <w:pPr>
        <w:pStyle w:val="Standardtext"/>
        <w:numPr>
          <w:ilvl w:val="2"/>
          <w:numId w:val="15"/>
        </w:numPr>
        <w:spacing w:before="240" w:after="240"/>
        <w:ind w:left="1560" w:hanging="709"/>
        <w:jc w:val="both"/>
        <w:rPr>
          <w:rFonts w:ascii="Arial" w:hAnsi="Arial" w:cs="Arial"/>
          <w:lang w:val="es-MX"/>
        </w:rPr>
      </w:pPr>
      <w:r w:rsidRPr="00F867B6">
        <w:rPr>
          <w:rFonts w:ascii="Arial" w:hAnsi="Arial" w:cs="Arial"/>
          <w:lang w:val="es-MX"/>
        </w:rPr>
        <w:t xml:space="preserve">Para utilizar el mecanismo de contingencia en las instalaciones del BCR, los </w:t>
      </w:r>
      <w:r w:rsidR="00EB68BE">
        <w:rPr>
          <w:rFonts w:ascii="Arial" w:hAnsi="Arial" w:cs="Arial"/>
          <w:lang w:val="es-MX"/>
        </w:rPr>
        <w:t>Participante</w:t>
      </w:r>
      <w:r w:rsidRPr="00F867B6">
        <w:rPr>
          <w:rFonts w:ascii="Arial" w:hAnsi="Arial" w:cs="Arial"/>
          <w:lang w:val="es-MX"/>
        </w:rPr>
        <w:t xml:space="preserve">s deberán notificar al siguiente correo electrónico: </w:t>
      </w:r>
      <w:r w:rsidRPr="00F867B6">
        <w:rPr>
          <w:rFonts w:ascii="Arial" w:hAnsi="Arial" w:cs="Arial"/>
          <w:b/>
          <w:bCs/>
          <w:lang w:val="es-MX"/>
        </w:rPr>
        <w:t>Transfer365_BCR@bcr.gob.sv</w:t>
      </w:r>
      <w:r w:rsidRPr="00F867B6">
        <w:rPr>
          <w:rFonts w:ascii="Arial" w:hAnsi="Arial" w:cs="Arial"/>
          <w:lang w:val="es-MX"/>
        </w:rPr>
        <w:t xml:space="preserve">, para habilitar </w:t>
      </w:r>
      <w:r w:rsidR="00443A18">
        <w:rPr>
          <w:rFonts w:ascii="Arial" w:hAnsi="Arial" w:cs="Arial"/>
          <w:lang w:val="es-MX"/>
        </w:rPr>
        <w:t xml:space="preserve">tal acción en </w:t>
      </w:r>
      <w:r w:rsidRPr="00F867B6">
        <w:rPr>
          <w:rFonts w:ascii="Arial" w:hAnsi="Arial" w:cs="Arial"/>
          <w:lang w:val="es-MX"/>
        </w:rPr>
        <w:t>el sistema alterno</w:t>
      </w:r>
      <w:r w:rsidR="00443A18">
        <w:rPr>
          <w:rFonts w:ascii="Arial" w:hAnsi="Arial" w:cs="Arial"/>
          <w:lang w:val="es-MX"/>
        </w:rPr>
        <w:t>,</w:t>
      </w:r>
      <w:r w:rsidRPr="00F867B6">
        <w:rPr>
          <w:rFonts w:ascii="Arial" w:hAnsi="Arial" w:cs="Arial"/>
          <w:lang w:val="es-MX"/>
        </w:rPr>
        <w:t xml:space="preserve"> el DPV lo hará del conocimiento del Gerente.</w:t>
      </w:r>
    </w:p>
    <w:p w14:paraId="3DC12E5C" w14:textId="1D9D4409" w:rsidR="003B5E94" w:rsidRPr="00DD746D" w:rsidRDefault="00897122" w:rsidP="00DD746D">
      <w:pPr>
        <w:pStyle w:val="Ttulo1"/>
        <w:numPr>
          <w:ilvl w:val="0"/>
          <w:numId w:val="18"/>
        </w:numPr>
        <w:ind w:left="284" w:hanging="284"/>
      </w:pPr>
      <w:bookmarkStart w:id="89" w:name="_Toc126599754"/>
      <w:r w:rsidRPr="00DD746D">
        <w:t>DISPOSICIONES ESPECIALES</w:t>
      </w:r>
      <w:bookmarkEnd w:id="87"/>
      <w:bookmarkEnd w:id="88"/>
      <w:r w:rsidR="003A0744" w:rsidRPr="00DD746D">
        <w:t>.</w:t>
      </w:r>
      <w:bookmarkEnd w:id="89"/>
    </w:p>
    <w:p w14:paraId="3096E3B9" w14:textId="77777777" w:rsidR="00A80D78" w:rsidRPr="00A80D78" w:rsidRDefault="00A80D78" w:rsidP="00A80D78">
      <w:pPr>
        <w:pStyle w:val="Prrafodelista"/>
        <w:numPr>
          <w:ilvl w:val="0"/>
          <w:numId w:val="15"/>
        </w:numPr>
        <w:spacing w:before="240" w:after="240" w:line="276" w:lineRule="auto"/>
        <w:jc w:val="both"/>
        <w:rPr>
          <w:rFonts w:ascii="Arial" w:eastAsia="Calibri" w:hAnsi="Arial" w:cs="Arial"/>
          <w:vanish/>
          <w:sz w:val="22"/>
          <w:szCs w:val="22"/>
          <w:lang w:val="es-MX" w:eastAsia="en-US"/>
        </w:rPr>
      </w:pPr>
    </w:p>
    <w:p w14:paraId="354780E5" w14:textId="1328900F" w:rsidR="00C75303" w:rsidRPr="002F686A" w:rsidRDefault="00C75303" w:rsidP="00A80D78">
      <w:pPr>
        <w:pStyle w:val="Standardtext"/>
        <w:numPr>
          <w:ilvl w:val="1"/>
          <w:numId w:val="15"/>
        </w:numPr>
        <w:spacing w:before="240" w:after="240"/>
        <w:ind w:left="851" w:hanging="567"/>
        <w:jc w:val="both"/>
        <w:rPr>
          <w:rFonts w:ascii="Arial" w:hAnsi="Arial" w:cs="Arial"/>
          <w:lang w:val="es-MX"/>
        </w:rPr>
      </w:pPr>
      <w:r w:rsidRPr="00C75303">
        <w:rPr>
          <w:rFonts w:ascii="Arial" w:hAnsi="Arial" w:cs="Arial"/>
          <w:lang w:val="es-MX"/>
        </w:rPr>
        <w:t>En caso de presentarse situaciones que afecten el normal funcionamiento del Transfer365 o por razones de seguridad, para solucionar fallas técnicas u otras contingencias operativas, con autorización del Gerente, se podrá suspender temporalmente la operatividad del Sistema de Compensación. La suspensión del servicio y sus causas será comunicada por el DPV de forma inmediata a los Participantes y a la Unidad de Vigilancia de Sistemas de Pagos del BCR.</w:t>
      </w:r>
    </w:p>
    <w:p w14:paraId="627356DF" w14:textId="77777777" w:rsidR="00D70087" w:rsidRDefault="006025B2" w:rsidP="00D70087">
      <w:pPr>
        <w:pStyle w:val="Standardtext"/>
        <w:numPr>
          <w:ilvl w:val="1"/>
          <w:numId w:val="15"/>
        </w:numPr>
        <w:spacing w:before="240" w:after="240"/>
        <w:ind w:left="851" w:hanging="567"/>
        <w:jc w:val="both"/>
        <w:rPr>
          <w:rFonts w:ascii="Arial" w:hAnsi="Arial" w:cs="Arial"/>
          <w:lang w:val="es-MX"/>
        </w:rPr>
      </w:pPr>
      <w:r w:rsidRPr="009E3883">
        <w:rPr>
          <w:rFonts w:ascii="Arial" w:hAnsi="Arial" w:cs="Arial"/>
          <w:lang w:val="es-MX"/>
        </w:rPr>
        <w:t xml:space="preserve">El BCR podrá efectuar en el Sistema LBTR débitos y/o créditos automáticos sobre las cuentas de depósitos de los </w:t>
      </w:r>
      <w:r w:rsidR="00EB68BE" w:rsidRPr="009E3883">
        <w:rPr>
          <w:rFonts w:ascii="Arial" w:hAnsi="Arial" w:cs="Arial"/>
          <w:lang w:val="es-MX"/>
        </w:rPr>
        <w:t>Participante</w:t>
      </w:r>
      <w:r w:rsidRPr="009E3883">
        <w:rPr>
          <w:rFonts w:ascii="Arial" w:hAnsi="Arial" w:cs="Arial"/>
          <w:lang w:val="es-MX"/>
        </w:rPr>
        <w:t xml:space="preserve">s para resolver errores operativos que se deriven de aplicaciones en el procesamiento de las operaciones del Transfer365, para lo cual se deberá especificar en el concepto de la operación la razón de la aplicación en la cuenta de depósito y hacerlo del conocimiento del </w:t>
      </w:r>
      <w:r w:rsidR="00EB68BE" w:rsidRPr="009E3883">
        <w:rPr>
          <w:rFonts w:ascii="Arial" w:hAnsi="Arial" w:cs="Arial"/>
          <w:lang w:val="es-MX"/>
        </w:rPr>
        <w:t>Participante</w:t>
      </w:r>
      <w:r w:rsidRPr="009E3883">
        <w:rPr>
          <w:rFonts w:ascii="Arial" w:hAnsi="Arial" w:cs="Arial"/>
          <w:lang w:val="es-MX"/>
        </w:rPr>
        <w:t xml:space="preserve"> ese mismo día</w:t>
      </w:r>
      <w:r w:rsidR="00085785">
        <w:rPr>
          <w:rFonts w:ascii="Arial" w:hAnsi="Arial" w:cs="Arial"/>
          <w:lang w:val="es-MX"/>
        </w:rPr>
        <w:t>.</w:t>
      </w:r>
    </w:p>
    <w:p w14:paraId="79257AA4" w14:textId="5BAEF82A" w:rsidR="00D70087" w:rsidRPr="00D70087" w:rsidRDefault="00D70087" w:rsidP="00D70087">
      <w:pPr>
        <w:pStyle w:val="Standardtext"/>
        <w:numPr>
          <w:ilvl w:val="1"/>
          <w:numId w:val="15"/>
        </w:numPr>
        <w:spacing w:before="240" w:after="240"/>
        <w:ind w:left="851" w:hanging="567"/>
        <w:jc w:val="both"/>
        <w:rPr>
          <w:rFonts w:ascii="Arial" w:hAnsi="Arial" w:cs="Arial"/>
          <w:lang w:val="es-MX"/>
        </w:rPr>
      </w:pPr>
      <w:r w:rsidRPr="00D70087">
        <w:rPr>
          <w:rFonts w:ascii="Arial" w:hAnsi="Arial" w:cs="Arial"/>
          <w:lang w:val="es-MX"/>
        </w:rPr>
        <w:t xml:space="preserve">El BCR, con el propósito de agilizar el intercambio de operaciones del Transfer365, para el caso los participantes que operen bajo el esquema de liquidación continua, </w:t>
      </w:r>
      <w:proofErr w:type="gramStart"/>
      <w:r w:rsidRPr="00D70087">
        <w:rPr>
          <w:rFonts w:ascii="Arial" w:hAnsi="Arial" w:cs="Arial"/>
          <w:lang w:val="es-MX"/>
        </w:rPr>
        <w:t>podrá</w:t>
      </w:r>
      <w:proofErr w:type="gramEnd"/>
      <w:r w:rsidRPr="00D70087">
        <w:rPr>
          <w:rFonts w:ascii="Arial" w:hAnsi="Arial" w:cs="Arial"/>
          <w:lang w:val="es-MX"/>
        </w:rPr>
        <w:t xml:space="preserve"> cambiar dicho esquema a uno de liquidación neta, para tal efecto deberá reservar los fondos necesarios en la cuenta de depósitos para garantizar la liquidación final. </w:t>
      </w:r>
    </w:p>
    <w:p w14:paraId="0FDCF5DA" w14:textId="46EE25DE" w:rsidR="00C75303" w:rsidRDefault="00C75303" w:rsidP="003E1DCD">
      <w:pPr>
        <w:pStyle w:val="Standardtext"/>
        <w:numPr>
          <w:ilvl w:val="1"/>
          <w:numId w:val="15"/>
        </w:numPr>
        <w:spacing w:before="240" w:after="240"/>
        <w:ind w:left="851" w:hanging="567"/>
        <w:jc w:val="both"/>
        <w:rPr>
          <w:rFonts w:ascii="Arial" w:hAnsi="Arial" w:cs="Arial"/>
          <w:lang w:val="es-MX"/>
        </w:rPr>
      </w:pPr>
      <w:r w:rsidRPr="009E3883">
        <w:rPr>
          <w:rFonts w:ascii="Arial" w:hAnsi="Arial" w:cs="Arial"/>
          <w:lang w:val="es-MX"/>
        </w:rPr>
        <w:lastRenderedPageBreak/>
        <w:t>En el caso de insuficiencias de fondos para efectuar la liquidación de los pagos, el Gerente informará de inmediato a la Presidencia del BCR y a las áreas involucradas, y si se trata de entidades financieras supervisadas por la SSF, previa autorización de la Presidencia del BCR, el Gerente informará por escrito a la SSF, para los efectos pertinentes. Si se trata de entidades que por no ser captadores de fondos del público actúen solo como originadores de pagos por cuenta propia, tales como el Ministerio de Hacienda o BANDESAL, el Gerente lo hará inmediatamente del conocimiento del Director</w:t>
      </w:r>
      <w:r w:rsidR="00214212">
        <w:rPr>
          <w:rFonts w:ascii="Arial" w:hAnsi="Arial" w:cs="Arial"/>
          <w:lang w:val="es-MX"/>
        </w:rPr>
        <w:t xml:space="preserve"> </w:t>
      </w:r>
      <w:r w:rsidRPr="009E3883">
        <w:rPr>
          <w:rFonts w:ascii="Arial" w:hAnsi="Arial" w:cs="Arial"/>
          <w:lang w:val="es-MX"/>
        </w:rPr>
        <w:t>General de Tesorería o Gerente de Operaciones o su similar, para que se regularice la situación y puedan enviar nuevamente los archivos.</w:t>
      </w:r>
    </w:p>
    <w:p w14:paraId="15C40B63" w14:textId="32BCDA77" w:rsidR="00170D30" w:rsidRDefault="008873EC" w:rsidP="003E1DCD">
      <w:pPr>
        <w:pStyle w:val="Standardtext"/>
        <w:numPr>
          <w:ilvl w:val="1"/>
          <w:numId w:val="15"/>
        </w:numPr>
        <w:spacing w:before="240" w:after="240"/>
        <w:ind w:left="851" w:hanging="567"/>
        <w:jc w:val="both"/>
        <w:rPr>
          <w:rFonts w:ascii="Arial" w:hAnsi="Arial" w:cs="Arial"/>
          <w:lang w:val="es-MX"/>
        </w:rPr>
      </w:pPr>
      <w:r w:rsidRPr="70FCC0CE">
        <w:rPr>
          <w:rFonts w:ascii="Arial" w:hAnsi="Arial" w:cs="Arial"/>
          <w:lang w:val="es-MX"/>
        </w:rPr>
        <w:t>Las interrupciones en el servicio derivad</w:t>
      </w:r>
      <w:r w:rsidR="00214212">
        <w:rPr>
          <w:rFonts w:ascii="Arial" w:hAnsi="Arial" w:cs="Arial"/>
          <w:lang w:val="es-MX"/>
        </w:rPr>
        <w:t>o</w:t>
      </w:r>
      <w:r w:rsidRPr="70FCC0CE">
        <w:rPr>
          <w:rFonts w:ascii="Arial" w:hAnsi="Arial" w:cs="Arial"/>
          <w:lang w:val="es-MX"/>
        </w:rPr>
        <w:t xml:space="preserve">s de mantenimientos en los sistemas de los </w:t>
      </w:r>
      <w:r w:rsidR="00EB68BE" w:rsidRPr="70FCC0CE">
        <w:rPr>
          <w:rFonts w:ascii="Arial" w:hAnsi="Arial" w:cs="Arial"/>
          <w:lang w:val="es-MX"/>
        </w:rPr>
        <w:t>Participante</w:t>
      </w:r>
      <w:r w:rsidRPr="70FCC0CE">
        <w:rPr>
          <w:rFonts w:ascii="Arial" w:hAnsi="Arial" w:cs="Arial"/>
          <w:lang w:val="es-MX"/>
        </w:rPr>
        <w:t xml:space="preserve">s deberán lo a sus clientes en sus diferentes medios y al BCR para su posterior notificación al resto de </w:t>
      </w:r>
      <w:r w:rsidR="00EB68BE" w:rsidRPr="70FCC0CE">
        <w:rPr>
          <w:rFonts w:ascii="Arial" w:hAnsi="Arial" w:cs="Arial"/>
          <w:lang w:val="es-MX"/>
        </w:rPr>
        <w:t>Participante</w:t>
      </w:r>
      <w:r w:rsidRPr="70FCC0CE">
        <w:rPr>
          <w:rFonts w:ascii="Arial" w:hAnsi="Arial" w:cs="Arial"/>
          <w:lang w:val="es-MX"/>
        </w:rPr>
        <w:t>s, al menos con un día hábil de anticipación</w:t>
      </w:r>
      <w:r w:rsidR="7085ACAA" w:rsidRPr="70FCC0CE">
        <w:rPr>
          <w:rFonts w:ascii="Arial" w:hAnsi="Arial" w:cs="Arial"/>
          <w:lang w:val="es-MX"/>
        </w:rPr>
        <w:t xml:space="preserve">; </w:t>
      </w:r>
      <w:r w:rsidR="00453C7A">
        <w:rPr>
          <w:rFonts w:ascii="Arial" w:hAnsi="Arial" w:cs="Arial"/>
          <w:lang w:val="es-MX"/>
        </w:rPr>
        <w:t xml:space="preserve">asimismo se </w:t>
      </w:r>
      <w:r w:rsidR="00AA1A9D">
        <w:rPr>
          <w:rFonts w:ascii="Arial" w:hAnsi="Arial" w:cs="Arial"/>
          <w:lang w:val="es-MX"/>
        </w:rPr>
        <w:t xml:space="preserve">recomienda </w:t>
      </w:r>
      <w:r w:rsidR="00F9316C">
        <w:rPr>
          <w:rFonts w:ascii="Arial" w:hAnsi="Arial" w:cs="Arial"/>
          <w:lang w:val="es-MX"/>
        </w:rPr>
        <w:t>que los mantenimientos se realicen en horarios</w:t>
      </w:r>
      <w:r w:rsidR="00EF3374">
        <w:rPr>
          <w:rFonts w:ascii="Arial" w:hAnsi="Arial" w:cs="Arial"/>
          <w:lang w:val="es-MX"/>
        </w:rPr>
        <w:t xml:space="preserve"> </w:t>
      </w:r>
      <w:r w:rsidR="00F9316C">
        <w:rPr>
          <w:rFonts w:ascii="Arial" w:hAnsi="Arial" w:cs="Arial"/>
          <w:lang w:val="es-MX"/>
        </w:rPr>
        <w:t>q</w:t>
      </w:r>
      <w:r w:rsidR="00B451BF">
        <w:rPr>
          <w:rFonts w:ascii="Arial" w:hAnsi="Arial" w:cs="Arial"/>
          <w:lang w:val="es-MX"/>
        </w:rPr>
        <w:t xml:space="preserve">ue </w:t>
      </w:r>
      <w:r w:rsidR="005B609D">
        <w:rPr>
          <w:rFonts w:ascii="Arial" w:hAnsi="Arial" w:cs="Arial"/>
          <w:lang w:val="es-MX"/>
        </w:rPr>
        <w:t>generen el menor impacto posible a sus clientes</w:t>
      </w:r>
      <w:r w:rsidR="00045681">
        <w:rPr>
          <w:rFonts w:ascii="Arial" w:hAnsi="Arial" w:cs="Arial"/>
          <w:lang w:val="es-MX"/>
        </w:rPr>
        <w:t xml:space="preserve"> (22:00 a 23:59 horas)</w:t>
      </w:r>
      <w:r w:rsidR="005B609D">
        <w:rPr>
          <w:rFonts w:ascii="Arial" w:hAnsi="Arial" w:cs="Arial"/>
          <w:lang w:val="es-MX"/>
        </w:rPr>
        <w:t>, así como garantizar que las operaciones entrantes no se vean interrumpidas.</w:t>
      </w:r>
      <w:r w:rsidRPr="70FCC0CE">
        <w:rPr>
          <w:rFonts w:ascii="Arial" w:hAnsi="Arial" w:cs="Arial"/>
          <w:lang w:val="es-MX"/>
        </w:rPr>
        <w:t xml:space="preserve"> </w:t>
      </w:r>
      <w:r w:rsidR="00045681">
        <w:rPr>
          <w:rFonts w:ascii="Arial" w:hAnsi="Arial" w:cs="Arial"/>
          <w:lang w:val="es-MX"/>
        </w:rPr>
        <w:t xml:space="preserve"> </w:t>
      </w:r>
    </w:p>
    <w:p w14:paraId="6D381A15" w14:textId="2F02B41A" w:rsidR="009E3883" w:rsidRDefault="008873EC" w:rsidP="00170D30">
      <w:pPr>
        <w:pStyle w:val="Standardtext"/>
        <w:spacing w:before="240" w:after="240"/>
        <w:ind w:left="851"/>
        <w:jc w:val="both"/>
        <w:rPr>
          <w:rFonts w:ascii="Arial" w:hAnsi="Arial" w:cs="Arial"/>
          <w:lang w:val="es-MX"/>
        </w:rPr>
      </w:pPr>
      <w:r w:rsidRPr="70FCC0CE">
        <w:rPr>
          <w:rFonts w:ascii="Arial" w:hAnsi="Arial" w:cs="Arial"/>
          <w:lang w:val="es-MX"/>
        </w:rPr>
        <w:t xml:space="preserve">Cuando el mantenimiento sea por parte del BCR deberá comunicarse a los </w:t>
      </w:r>
      <w:r w:rsidR="00EB68BE" w:rsidRPr="70FCC0CE">
        <w:rPr>
          <w:rFonts w:ascii="Arial" w:hAnsi="Arial" w:cs="Arial"/>
          <w:lang w:val="es-MX"/>
        </w:rPr>
        <w:t>Participante</w:t>
      </w:r>
      <w:r w:rsidRPr="70FCC0CE">
        <w:rPr>
          <w:rFonts w:ascii="Arial" w:hAnsi="Arial" w:cs="Arial"/>
          <w:lang w:val="es-MX"/>
        </w:rPr>
        <w:t>s con al menos un día hábil de anticipación. En ambos casos, la liquidación y/o acreditación de los fondos deberá efectuarse una vez finalice el mantenimiento respectivo.</w:t>
      </w:r>
    </w:p>
    <w:p w14:paraId="071A996E" w14:textId="4B304B04" w:rsidR="003D2C4D" w:rsidRPr="00536DFA" w:rsidRDefault="00A25466" w:rsidP="002F686A">
      <w:pPr>
        <w:pStyle w:val="Standardtext"/>
        <w:numPr>
          <w:ilvl w:val="1"/>
          <w:numId w:val="15"/>
        </w:numPr>
        <w:spacing w:before="240" w:after="240"/>
        <w:ind w:left="851" w:hanging="567"/>
        <w:jc w:val="both"/>
        <w:rPr>
          <w:rFonts w:ascii="Arial" w:hAnsi="Arial" w:cs="Arial"/>
          <w:b/>
          <w:lang w:val="es-MX"/>
        </w:rPr>
      </w:pPr>
      <w:r w:rsidRPr="00536DFA">
        <w:rPr>
          <w:rFonts w:ascii="Arial" w:hAnsi="Arial" w:cs="Arial"/>
          <w:b/>
          <w:lang w:val="es-MX"/>
        </w:rPr>
        <w:t xml:space="preserve">Incumplimientos de los </w:t>
      </w:r>
      <w:r w:rsidR="00EB68BE">
        <w:rPr>
          <w:rFonts w:ascii="Arial" w:hAnsi="Arial" w:cs="Arial"/>
          <w:b/>
          <w:lang w:val="es-MX"/>
        </w:rPr>
        <w:t>Participante</w:t>
      </w:r>
      <w:r w:rsidRPr="00536DFA">
        <w:rPr>
          <w:rFonts w:ascii="Arial" w:hAnsi="Arial" w:cs="Arial"/>
          <w:b/>
          <w:lang w:val="es-MX"/>
        </w:rPr>
        <w:t xml:space="preserve">s: </w:t>
      </w:r>
    </w:p>
    <w:p w14:paraId="73E55F99" w14:textId="13E67274" w:rsidR="00A25466" w:rsidRPr="00871890" w:rsidRDefault="009A7596" w:rsidP="00871890">
      <w:pPr>
        <w:pStyle w:val="Standardtext"/>
        <w:numPr>
          <w:ilvl w:val="2"/>
          <w:numId w:val="15"/>
        </w:numPr>
        <w:spacing w:before="240" w:after="240"/>
        <w:ind w:left="1418" w:hanging="567"/>
        <w:jc w:val="both"/>
        <w:rPr>
          <w:rFonts w:ascii="Arial" w:hAnsi="Arial" w:cs="Arial"/>
          <w:lang w:val="es-MX"/>
        </w:rPr>
      </w:pPr>
      <w:r w:rsidRPr="009A7596">
        <w:rPr>
          <w:rFonts w:ascii="Arial" w:hAnsi="Arial" w:cs="Arial"/>
          <w:lang w:val="es-MX"/>
        </w:rPr>
        <w:t xml:space="preserve">Un </w:t>
      </w:r>
      <w:r w:rsidR="00EB68BE">
        <w:rPr>
          <w:rFonts w:ascii="Arial" w:hAnsi="Arial" w:cs="Arial"/>
          <w:lang w:val="es-MX"/>
        </w:rPr>
        <w:t>Participante</w:t>
      </w:r>
      <w:r w:rsidRPr="009A7596">
        <w:rPr>
          <w:rFonts w:ascii="Arial" w:hAnsi="Arial" w:cs="Arial"/>
          <w:lang w:val="es-MX"/>
        </w:rPr>
        <w:t xml:space="preserve"> incurrirá en incumplimiento en las siguientes circunstancias:</w:t>
      </w:r>
    </w:p>
    <w:p w14:paraId="2CD3548B" w14:textId="7E496918" w:rsidR="00B47334" w:rsidRDefault="00912E08" w:rsidP="003B777F">
      <w:pPr>
        <w:pStyle w:val="Standardtext"/>
        <w:numPr>
          <w:ilvl w:val="3"/>
          <w:numId w:val="15"/>
        </w:numPr>
        <w:spacing w:before="240" w:after="240"/>
        <w:ind w:left="2268" w:hanging="850"/>
        <w:jc w:val="both"/>
        <w:rPr>
          <w:rFonts w:ascii="Arial" w:hAnsi="Arial" w:cs="Arial"/>
          <w:lang w:val="es-MX"/>
        </w:rPr>
      </w:pPr>
      <w:r w:rsidRPr="00912E08">
        <w:rPr>
          <w:rFonts w:ascii="Arial" w:hAnsi="Arial" w:cs="Arial"/>
          <w:lang w:val="es-MX"/>
        </w:rPr>
        <w:t xml:space="preserve">Cuando un </w:t>
      </w:r>
      <w:r w:rsidR="00EB68BE">
        <w:rPr>
          <w:rFonts w:ascii="Arial" w:hAnsi="Arial" w:cs="Arial"/>
          <w:lang w:val="es-MX"/>
        </w:rPr>
        <w:t>Participante</w:t>
      </w:r>
      <w:r w:rsidRPr="00912E08">
        <w:rPr>
          <w:rFonts w:ascii="Arial" w:hAnsi="Arial" w:cs="Arial"/>
          <w:lang w:val="es-MX"/>
        </w:rPr>
        <w:t xml:space="preserve"> no habilite y ponga a disposición de todos sus clientes el Transfer365 garantizando el correcto funcionamiento, promoción y facilidades de acceso del Sistema a sus clientes de acuerdo con lo establecido en los numerales </w:t>
      </w:r>
      <w:r w:rsidRPr="003357B1">
        <w:rPr>
          <w:rFonts w:ascii="Arial" w:hAnsi="Arial" w:cs="Arial"/>
          <w:lang w:val="es-MX"/>
        </w:rPr>
        <w:t>4.5, 5.4.13, 5.4.14, 5.4.15 y 5.4.16</w:t>
      </w:r>
      <w:r w:rsidRPr="00581E97">
        <w:rPr>
          <w:rFonts w:ascii="Arial" w:hAnsi="Arial" w:cs="Arial"/>
          <w:lang w:val="es-MX"/>
        </w:rPr>
        <w:t xml:space="preserve"> del</w:t>
      </w:r>
      <w:r w:rsidRPr="00912E08">
        <w:rPr>
          <w:rFonts w:ascii="Arial" w:hAnsi="Arial" w:cs="Arial"/>
          <w:lang w:val="es-MX"/>
        </w:rPr>
        <w:t xml:space="preserve"> presente instructivo.</w:t>
      </w:r>
    </w:p>
    <w:p w14:paraId="03D17E7F" w14:textId="611529C2" w:rsidR="00A25466" w:rsidRPr="00871890" w:rsidRDefault="0095566E" w:rsidP="00871890">
      <w:pPr>
        <w:pStyle w:val="Standardtext"/>
        <w:numPr>
          <w:ilvl w:val="3"/>
          <w:numId w:val="15"/>
        </w:numPr>
        <w:spacing w:before="240" w:after="240"/>
        <w:ind w:left="2268" w:hanging="850"/>
        <w:jc w:val="both"/>
        <w:rPr>
          <w:rFonts w:ascii="Arial" w:hAnsi="Arial" w:cs="Arial"/>
          <w:lang w:val="es-MX"/>
        </w:rPr>
      </w:pPr>
      <w:r w:rsidRPr="0095566E">
        <w:rPr>
          <w:rFonts w:ascii="Arial" w:hAnsi="Arial" w:cs="Arial"/>
          <w:lang w:val="es-MX"/>
        </w:rPr>
        <w:t xml:space="preserve">Cuando un </w:t>
      </w:r>
      <w:r w:rsidR="00EB68BE">
        <w:rPr>
          <w:rFonts w:ascii="Arial" w:hAnsi="Arial" w:cs="Arial"/>
          <w:lang w:val="es-MX"/>
        </w:rPr>
        <w:t>Participante</w:t>
      </w:r>
      <w:r w:rsidRPr="0095566E">
        <w:rPr>
          <w:rFonts w:ascii="Arial" w:hAnsi="Arial" w:cs="Arial"/>
          <w:lang w:val="es-MX"/>
        </w:rPr>
        <w:t xml:space="preserve"> no remita información relacionada con sus obligaciones como sujeto obligado en la prevención de Lavado de Dinero y Activos y Financiamiento al Terrorismo o por no cumplir con los requerimientos legales establecidos a los sujetos obligados de la Ley Contra el Lavado de Dinero y de Activos y de su Reglamento; de acuerdo con lo establecido en los numerales </w:t>
      </w:r>
      <w:r w:rsidRPr="003357B1">
        <w:rPr>
          <w:rFonts w:ascii="Arial" w:hAnsi="Arial" w:cs="Arial"/>
          <w:lang w:val="es-MX"/>
        </w:rPr>
        <w:t>5.4.9 y 5.4.10</w:t>
      </w:r>
      <w:r w:rsidRPr="0095566E">
        <w:rPr>
          <w:rFonts w:ascii="Arial" w:hAnsi="Arial" w:cs="Arial"/>
          <w:lang w:val="es-MX"/>
        </w:rPr>
        <w:t xml:space="preserve"> respectivamente del presente Instructivo.</w:t>
      </w:r>
    </w:p>
    <w:p w14:paraId="228E6A8E" w14:textId="77777777" w:rsidR="00F80274" w:rsidRDefault="00E53110" w:rsidP="003E1DCD">
      <w:pPr>
        <w:pStyle w:val="Standardtext"/>
        <w:numPr>
          <w:ilvl w:val="3"/>
          <w:numId w:val="15"/>
        </w:numPr>
        <w:spacing w:before="240" w:after="240"/>
        <w:ind w:left="2268" w:hanging="850"/>
        <w:jc w:val="both"/>
        <w:rPr>
          <w:rFonts w:ascii="Arial" w:hAnsi="Arial" w:cs="Arial"/>
          <w:lang w:val="es-MX"/>
        </w:rPr>
      </w:pPr>
      <w:r w:rsidRPr="009E3883">
        <w:rPr>
          <w:rFonts w:ascii="Arial" w:hAnsi="Arial" w:cs="Arial"/>
          <w:lang w:val="es-MX"/>
        </w:rPr>
        <w:lastRenderedPageBreak/>
        <w:t>Cuando no cuente con los fondos suficientes para liquidar las instrucciones de Transferencias de Fondos remitidas por medio del Transfer365 (Proceso de liquidación continua), constituir su reserva de fondos (Proceso de liquidación neta) y liquidación cuando su posición neta resultante sea deudora (Proceso de liquidación neta).</w:t>
      </w:r>
    </w:p>
    <w:p w14:paraId="72C08F11" w14:textId="4C9A90FE" w:rsidR="00A25466" w:rsidRPr="009E3883" w:rsidRDefault="00DC0F68" w:rsidP="003E1DCD">
      <w:pPr>
        <w:pStyle w:val="Standardtext"/>
        <w:numPr>
          <w:ilvl w:val="3"/>
          <w:numId w:val="15"/>
        </w:numPr>
        <w:spacing w:before="240" w:after="240"/>
        <w:ind w:left="2268" w:hanging="850"/>
        <w:jc w:val="both"/>
        <w:rPr>
          <w:rFonts w:ascii="Arial" w:hAnsi="Arial" w:cs="Arial"/>
          <w:lang w:val="es-MX"/>
        </w:rPr>
      </w:pPr>
      <w:r w:rsidRPr="009E3883">
        <w:rPr>
          <w:rFonts w:ascii="Arial" w:hAnsi="Arial" w:cs="Arial"/>
          <w:lang w:val="es-MX"/>
        </w:rPr>
        <w:t>Cuando un</w:t>
      </w:r>
      <w:r w:rsidR="00D060DB" w:rsidRPr="009E3883">
        <w:rPr>
          <w:rFonts w:ascii="Arial" w:hAnsi="Arial" w:cs="Arial"/>
          <w:lang w:val="es-MX"/>
        </w:rPr>
        <w:t xml:space="preserve"> </w:t>
      </w:r>
      <w:r w:rsidR="00EB68BE" w:rsidRPr="009E3883">
        <w:rPr>
          <w:rFonts w:ascii="Arial" w:hAnsi="Arial" w:cs="Arial"/>
          <w:lang w:val="es-MX"/>
        </w:rPr>
        <w:t>Participante</w:t>
      </w:r>
      <w:r w:rsidR="00D060DB" w:rsidRPr="009E3883">
        <w:rPr>
          <w:rFonts w:ascii="Arial" w:hAnsi="Arial" w:cs="Arial"/>
          <w:lang w:val="es-MX"/>
        </w:rPr>
        <w:t xml:space="preserve"> Origen no retorn</w:t>
      </w:r>
      <w:r w:rsidRPr="009E3883">
        <w:rPr>
          <w:rFonts w:ascii="Arial" w:hAnsi="Arial" w:cs="Arial"/>
          <w:lang w:val="es-MX"/>
        </w:rPr>
        <w:t>a</w:t>
      </w:r>
      <w:r w:rsidR="00D060DB" w:rsidRPr="009E3883">
        <w:rPr>
          <w:rFonts w:ascii="Arial" w:hAnsi="Arial" w:cs="Arial"/>
          <w:lang w:val="es-MX"/>
        </w:rPr>
        <w:t xml:space="preserve"> los fondos al originador cuando un pago ha sido rechazado de acuerdo con los establecido en el </w:t>
      </w:r>
      <w:r w:rsidR="00D060DB" w:rsidRPr="003357B1">
        <w:rPr>
          <w:rFonts w:ascii="Arial" w:hAnsi="Arial" w:cs="Arial"/>
          <w:lang w:val="es-MX"/>
        </w:rPr>
        <w:t>numeral 5.4.17.7.</w:t>
      </w:r>
    </w:p>
    <w:p w14:paraId="477ACF0E" w14:textId="293E4DCF" w:rsidR="003D2352" w:rsidRPr="00871890" w:rsidRDefault="00C978B8" w:rsidP="00871890">
      <w:pPr>
        <w:pStyle w:val="Standardtext"/>
        <w:numPr>
          <w:ilvl w:val="3"/>
          <w:numId w:val="15"/>
        </w:numPr>
        <w:spacing w:before="240" w:after="240"/>
        <w:ind w:left="2268" w:hanging="850"/>
        <w:jc w:val="both"/>
        <w:rPr>
          <w:rFonts w:ascii="Arial" w:hAnsi="Arial" w:cs="Arial"/>
          <w:lang w:val="es-MX"/>
        </w:rPr>
      </w:pPr>
      <w:r w:rsidRPr="00C978B8">
        <w:rPr>
          <w:rFonts w:ascii="Arial" w:hAnsi="Arial" w:cs="Arial"/>
          <w:lang w:val="es-MX"/>
        </w:rPr>
        <w:t xml:space="preserve">Por no acreditar las instrucciones de pagos a los beneficiarios finales de acuerdo con lo establecido en el </w:t>
      </w:r>
      <w:r w:rsidRPr="0092481B">
        <w:rPr>
          <w:rFonts w:ascii="Arial" w:hAnsi="Arial" w:cs="Arial"/>
          <w:lang w:val="es-MX"/>
        </w:rPr>
        <w:t xml:space="preserve">numeral </w:t>
      </w:r>
      <w:r w:rsidRPr="003357B1">
        <w:rPr>
          <w:rFonts w:ascii="Arial" w:hAnsi="Arial" w:cs="Arial"/>
          <w:lang w:val="es-MX"/>
        </w:rPr>
        <w:t>5.4.18.2</w:t>
      </w:r>
      <w:r w:rsidRPr="0092481B">
        <w:rPr>
          <w:rFonts w:ascii="Arial" w:hAnsi="Arial" w:cs="Arial"/>
          <w:lang w:val="es-MX"/>
        </w:rPr>
        <w:t xml:space="preserve"> del</w:t>
      </w:r>
      <w:r w:rsidRPr="00C978B8">
        <w:rPr>
          <w:rFonts w:ascii="Arial" w:hAnsi="Arial" w:cs="Arial"/>
          <w:lang w:val="es-MX"/>
        </w:rPr>
        <w:t xml:space="preserve"> presente Instructivo, salvo que el </w:t>
      </w:r>
      <w:r w:rsidR="00EB68BE">
        <w:rPr>
          <w:rFonts w:ascii="Arial" w:hAnsi="Arial" w:cs="Arial"/>
          <w:lang w:val="es-MX"/>
        </w:rPr>
        <w:t>Participante</w:t>
      </w:r>
      <w:r w:rsidRPr="00C978B8">
        <w:rPr>
          <w:rFonts w:ascii="Arial" w:hAnsi="Arial" w:cs="Arial"/>
          <w:lang w:val="es-MX"/>
        </w:rPr>
        <w:t xml:space="preserve"> Destino cuente con una razón de devolución de acuerdo con alguna de las causales definidos en el Anexo</w:t>
      </w:r>
      <w:r w:rsidR="00DC0F68">
        <w:rPr>
          <w:rFonts w:ascii="Arial" w:hAnsi="Arial" w:cs="Arial"/>
          <w:lang w:val="es-MX"/>
        </w:rPr>
        <w:t xml:space="preserve"> No</w:t>
      </w:r>
      <w:r w:rsidRPr="00C978B8">
        <w:rPr>
          <w:rFonts w:ascii="Arial" w:hAnsi="Arial" w:cs="Arial"/>
          <w:lang w:val="es-MX"/>
        </w:rPr>
        <w:t>. 4 del presente Instructivo.</w:t>
      </w:r>
    </w:p>
    <w:p w14:paraId="6E746DFB" w14:textId="29E72DF9" w:rsidR="00F35136" w:rsidRDefault="005E64A2" w:rsidP="00E834A8">
      <w:pPr>
        <w:pStyle w:val="Standardtext"/>
        <w:numPr>
          <w:ilvl w:val="3"/>
          <w:numId w:val="15"/>
        </w:numPr>
        <w:spacing w:before="240" w:after="240"/>
        <w:ind w:left="2268" w:hanging="850"/>
        <w:jc w:val="both"/>
        <w:rPr>
          <w:rFonts w:ascii="Arial" w:hAnsi="Arial" w:cs="Arial"/>
          <w:lang w:val="es-MX"/>
        </w:rPr>
      </w:pPr>
      <w:r w:rsidRPr="005E64A2">
        <w:rPr>
          <w:rFonts w:ascii="Arial" w:hAnsi="Arial" w:cs="Arial"/>
          <w:lang w:val="es-MX"/>
        </w:rPr>
        <w:t>Cuando lleve a cabo actuaciones u omisiones que pongan en riesgo el normal funcionamiento de las operaciones del Transfer365.</w:t>
      </w:r>
    </w:p>
    <w:p w14:paraId="218D0616" w14:textId="72C98DF4" w:rsidR="00FC3CCC" w:rsidRDefault="00FC3CCC" w:rsidP="00E834A8">
      <w:pPr>
        <w:pStyle w:val="Standardtext"/>
        <w:numPr>
          <w:ilvl w:val="3"/>
          <w:numId w:val="15"/>
        </w:numPr>
        <w:spacing w:before="240" w:after="240"/>
        <w:ind w:left="2268" w:hanging="850"/>
        <w:jc w:val="both"/>
        <w:rPr>
          <w:rFonts w:ascii="Arial" w:hAnsi="Arial" w:cs="Arial"/>
          <w:lang w:val="es-MX"/>
        </w:rPr>
      </w:pPr>
      <w:r w:rsidRPr="00FC3CCC">
        <w:rPr>
          <w:rFonts w:ascii="Arial" w:hAnsi="Arial" w:cs="Arial"/>
          <w:lang w:val="es-MX"/>
        </w:rPr>
        <w:t xml:space="preserve">Cuando incurran en incumplimiento de </w:t>
      </w:r>
      <w:r w:rsidR="00DC0F68">
        <w:rPr>
          <w:rFonts w:ascii="Arial" w:hAnsi="Arial" w:cs="Arial"/>
          <w:lang w:val="es-MX"/>
        </w:rPr>
        <w:t xml:space="preserve">las otras </w:t>
      </w:r>
      <w:r w:rsidRPr="00FC3CCC">
        <w:rPr>
          <w:rFonts w:ascii="Arial" w:hAnsi="Arial" w:cs="Arial"/>
          <w:lang w:val="es-MX"/>
        </w:rPr>
        <w:t xml:space="preserve">normas establecidas </w:t>
      </w:r>
      <w:r w:rsidR="00DC0F68">
        <w:rPr>
          <w:rFonts w:ascii="Arial" w:hAnsi="Arial" w:cs="Arial"/>
          <w:lang w:val="es-MX"/>
        </w:rPr>
        <w:t xml:space="preserve">en </w:t>
      </w:r>
      <w:r w:rsidRPr="00FC3CCC">
        <w:rPr>
          <w:rFonts w:ascii="Arial" w:hAnsi="Arial" w:cs="Arial"/>
          <w:lang w:val="es-MX"/>
        </w:rPr>
        <w:t>el presente Instructivo.</w:t>
      </w:r>
    </w:p>
    <w:p w14:paraId="17A67E54" w14:textId="0FD20D1F" w:rsidR="005649A8" w:rsidRDefault="00C75D49" w:rsidP="00C75D49">
      <w:pPr>
        <w:pStyle w:val="Standardtext"/>
        <w:numPr>
          <w:ilvl w:val="2"/>
          <w:numId w:val="15"/>
        </w:numPr>
        <w:spacing w:before="240" w:after="240"/>
        <w:ind w:left="1418" w:hanging="567"/>
        <w:jc w:val="both"/>
        <w:rPr>
          <w:rFonts w:ascii="Arial" w:hAnsi="Arial" w:cs="Arial"/>
          <w:lang w:val="es-MX"/>
        </w:rPr>
      </w:pPr>
      <w:r w:rsidRPr="00C75D49">
        <w:rPr>
          <w:rFonts w:ascii="Arial" w:hAnsi="Arial" w:cs="Arial"/>
          <w:lang w:val="es-MX"/>
        </w:rPr>
        <w:t>Cuando se presenten incumplimientos al presente Instructivo que afecten el normal funcionamiento del Transfer365, se procederá de la siguiente manera:</w:t>
      </w:r>
    </w:p>
    <w:p w14:paraId="396E2ADC" w14:textId="57140816" w:rsidR="000E40D6" w:rsidRDefault="000E40D6" w:rsidP="002735CC">
      <w:pPr>
        <w:pStyle w:val="Standardtext"/>
        <w:numPr>
          <w:ilvl w:val="3"/>
          <w:numId w:val="15"/>
        </w:numPr>
        <w:spacing w:before="240" w:after="240"/>
        <w:ind w:left="2268" w:hanging="850"/>
        <w:jc w:val="both"/>
        <w:rPr>
          <w:rFonts w:ascii="Arial" w:hAnsi="Arial" w:cs="Arial"/>
          <w:lang w:val="es-MX"/>
        </w:rPr>
      </w:pPr>
      <w:r w:rsidRPr="000E40D6">
        <w:rPr>
          <w:rFonts w:ascii="Arial" w:hAnsi="Arial" w:cs="Arial"/>
          <w:lang w:val="es-MX"/>
        </w:rPr>
        <w:t xml:space="preserve">El jefe del DPV o la persona que este delegue notificará al Gerente de Operaciones o su similar en el </w:t>
      </w:r>
      <w:r w:rsidR="00EB68BE">
        <w:rPr>
          <w:rFonts w:ascii="Arial" w:hAnsi="Arial" w:cs="Arial"/>
          <w:lang w:val="es-MX"/>
        </w:rPr>
        <w:t>Participante</w:t>
      </w:r>
      <w:r w:rsidR="00DC0F68">
        <w:rPr>
          <w:rFonts w:ascii="Arial" w:hAnsi="Arial" w:cs="Arial"/>
          <w:lang w:val="es-MX"/>
        </w:rPr>
        <w:t>,</w:t>
      </w:r>
      <w:r w:rsidRPr="000E40D6">
        <w:rPr>
          <w:rFonts w:ascii="Arial" w:hAnsi="Arial" w:cs="Arial"/>
          <w:lang w:val="es-MX"/>
        </w:rPr>
        <w:t xml:space="preserve"> con copia a la Unidad de Vigilancia de Sistemas de Pagos del BCR, a más tardar el segundo día hábil de la siguiente semana, los incumplimientos identificados al Instructivo con el objetivo de que sean solventados. </w:t>
      </w:r>
    </w:p>
    <w:p w14:paraId="59A296B0" w14:textId="0FD470FF" w:rsidR="000E40D6" w:rsidRPr="000E40D6" w:rsidRDefault="000E40D6" w:rsidP="002735CC">
      <w:pPr>
        <w:pStyle w:val="Standardtext"/>
        <w:spacing w:before="240" w:after="240"/>
        <w:ind w:left="2268"/>
        <w:jc w:val="both"/>
        <w:rPr>
          <w:rFonts w:ascii="Arial" w:hAnsi="Arial" w:cs="Arial"/>
          <w:lang w:val="es-MX"/>
        </w:rPr>
      </w:pPr>
      <w:r w:rsidRPr="000E40D6">
        <w:rPr>
          <w:rFonts w:ascii="Arial" w:hAnsi="Arial" w:cs="Arial"/>
          <w:lang w:val="es-MX"/>
        </w:rPr>
        <w:t xml:space="preserve">Tratándose de incumplimiento/s a los numerales 4.5, 5.4.9, 5.4.10, 5.4.16, 5.4.17.5 y 5.4.17.7, se notificará a más tardar el día siguiente hábil. </w:t>
      </w:r>
    </w:p>
    <w:p w14:paraId="0905BB36" w14:textId="77777777" w:rsidR="00E53110" w:rsidRPr="00E53110" w:rsidRDefault="00E53110" w:rsidP="00E53110">
      <w:pPr>
        <w:pStyle w:val="Standardtext"/>
        <w:numPr>
          <w:ilvl w:val="3"/>
          <w:numId w:val="15"/>
        </w:numPr>
        <w:spacing w:before="240" w:after="240"/>
        <w:ind w:left="2268" w:hanging="850"/>
        <w:jc w:val="both"/>
        <w:rPr>
          <w:rFonts w:ascii="Arial" w:hAnsi="Arial" w:cs="Arial"/>
          <w:lang w:val="es-MX"/>
        </w:rPr>
      </w:pPr>
      <w:r w:rsidRPr="00E53110">
        <w:rPr>
          <w:rFonts w:ascii="Arial" w:hAnsi="Arial" w:cs="Arial"/>
          <w:lang w:val="es-MX"/>
        </w:rPr>
        <w:t xml:space="preserve">El DPV remitirá a la Unidad de Vigilancia de Sistemas de Pagos del BCR un reporte mensual de los incumplimientos de los Participantes, dentro de los primeros cinco días hábiles del mes siguiente. El Reporte incluirá: el análisis de las causas, frecuencias </w:t>
      </w:r>
      <w:r w:rsidRPr="00E53110">
        <w:rPr>
          <w:rFonts w:ascii="Arial" w:hAnsi="Arial" w:cs="Arial"/>
          <w:lang w:val="es-MX"/>
        </w:rPr>
        <w:lastRenderedPageBreak/>
        <w:t>y posibles impactos en el Sistema Transfer365 de cada uno de los incumplimientos y la/s respuesta/s del Participante, si las hubiere.</w:t>
      </w:r>
    </w:p>
    <w:p w14:paraId="59755FBD" w14:textId="5498AF42" w:rsidR="00E53110" w:rsidRDefault="00E53110" w:rsidP="00E53110">
      <w:pPr>
        <w:pStyle w:val="Standardtext"/>
        <w:spacing w:before="240" w:after="240"/>
        <w:ind w:left="2268"/>
        <w:jc w:val="both"/>
        <w:rPr>
          <w:rFonts w:ascii="Arial" w:hAnsi="Arial" w:cs="Arial"/>
          <w:lang w:val="es-MX"/>
        </w:rPr>
      </w:pPr>
      <w:r w:rsidRPr="00E53110">
        <w:rPr>
          <w:rFonts w:ascii="Arial" w:hAnsi="Arial" w:cs="Arial"/>
          <w:lang w:val="es-MX"/>
        </w:rPr>
        <w:t>Tratándose de incumplimiento/s a los numerales 4.5, 5.4.9, 5.4.10, 5.4.16, 5.4.17.5 y 5.4.17.7, el DPV remitirá reporte de incumplimiento a la Unidad de Vigilancia de Sistemas de Pagos a más tardar el día siguiente hábil, a fin de que realice el análisis técnico correspondiente y haga sus valoraciones sobre el inicio o no de un procedimiento sancionador de acuerdo con lo establecido en el numeral 6.</w:t>
      </w:r>
      <w:r w:rsidR="00515A92">
        <w:rPr>
          <w:rFonts w:ascii="Arial" w:hAnsi="Arial" w:cs="Arial"/>
          <w:lang w:val="es-MX"/>
        </w:rPr>
        <w:t>6</w:t>
      </w:r>
      <w:r w:rsidRPr="00E53110">
        <w:rPr>
          <w:rFonts w:ascii="Arial" w:hAnsi="Arial" w:cs="Arial"/>
          <w:lang w:val="es-MX"/>
        </w:rPr>
        <w:t>.2.3.</w:t>
      </w:r>
    </w:p>
    <w:p w14:paraId="016E77EA" w14:textId="77777777" w:rsidR="00E53110" w:rsidRPr="00E53110" w:rsidRDefault="00E53110" w:rsidP="00E53110">
      <w:pPr>
        <w:pStyle w:val="Standardtext"/>
        <w:numPr>
          <w:ilvl w:val="3"/>
          <w:numId w:val="15"/>
        </w:numPr>
        <w:spacing w:before="240" w:after="240"/>
        <w:ind w:left="2268" w:hanging="850"/>
        <w:jc w:val="both"/>
        <w:rPr>
          <w:rFonts w:ascii="Arial" w:hAnsi="Arial" w:cs="Arial"/>
          <w:lang w:val="es-MX"/>
        </w:rPr>
      </w:pPr>
      <w:r w:rsidRPr="00E53110">
        <w:rPr>
          <w:rFonts w:ascii="Arial" w:hAnsi="Arial" w:cs="Arial"/>
          <w:lang w:val="es-MX"/>
        </w:rPr>
        <w:t>La Unidad de Vigilancia de Sistemas de Pagos del BCR realizará el análisis técnico  y emitirá opinión técnica  en caso que se identifiquen presuntas causas que acreditan o desestiman el posible inicio o no de un procedimiento sancionador correspondiente sobre el Reporte recibido por el DPV, realizándolo en un plazo no mayor a 5 días hábiles, salvo que por la complejidad del caso, se establezca de manera fundamentada la necesidad de ampliación, la cual no podrá exceder de 5 días hábiles adicionales, previa notificación al DPV.  Asimismo, podrá recomendar a los Participantes acciones de mejora o determinar un plan de ajuste obligatorio, tendientes a corregir las irregularidades que se presenten o subsanar los incumplimientos en un plazo específico. Dicho plazo será determinado de acuerdo con la afectación e impacto que tenga en el sistema Transfer365, sin perjuicio del inicio del procedimiento sancionador que corresponda.</w:t>
      </w:r>
    </w:p>
    <w:p w14:paraId="3052C28D" w14:textId="6C27692D" w:rsidR="004E4C5E" w:rsidRDefault="00E53110" w:rsidP="004E4C5E">
      <w:pPr>
        <w:pStyle w:val="Standardtext"/>
        <w:spacing w:before="240" w:after="240"/>
        <w:ind w:left="2268"/>
        <w:jc w:val="both"/>
        <w:rPr>
          <w:rFonts w:ascii="Arial" w:hAnsi="Arial" w:cs="Arial"/>
          <w:lang w:val="es-MX"/>
        </w:rPr>
      </w:pPr>
      <w:r w:rsidRPr="00E53110">
        <w:rPr>
          <w:rFonts w:ascii="Arial" w:hAnsi="Arial" w:cs="Arial"/>
          <w:lang w:val="es-MX"/>
        </w:rPr>
        <w:t>Por otra parte, si como producto del monitoreo continuo u otras investigaciones realizadas por la UVSP, encuentra o determina incumplimientos que ameriten el inicio de un procedimiento sancionador, dicha Unidad podrá realizar tales valoraciones y emitirá el informe técnico correspondiente al DPV, para que éste continue con el procedimiento establecido en el numeral 6.</w:t>
      </w:r>
      <w:r w:rsidR="00F578E6">
        <w:rPr>
          <w:rFonts w:ascii="Arial" w:hAnsi="Arial" w:cs="Arial"/>
          <w:lang w:val="es-MX"/>
        </w:rPr>
        <w:t>6</w:t>
      </w:r>
      <w:r w:rsidRPr="00E53110">
        <w:rPr>
          <w:rFonts w:ascii="Arial" w:hAnsi="Arial" w:cs="Arial"/>
          <w:lang w:val="es-MX"/>
        </w:rPr>
        <w:t>.2.4.</w:t>
      </w:r>
    </w:p>
    <w:p w14:paraId="565D7BC8" w14:textId="33612199" w:rsidR="00E53110" w:rsidRPr="00E53110" w:rsidRDefault="00E53110" w:rsidP="004E4C5E">
      <w:pPr>
        <w:pStyle w:val="Standardtext"/>
        <w:numPr>
          <w:ilvl w:val="3"/>
          <w:numId w:val="15"/>
        </w:numPr>
        <w:spacing w:before="240" w:after="240"/>
        <w:ind w:left="2268" w:hanging="850"/>
        <w:jc w:val="both"/>
        <w:rPr>
          <w:rFonts w:ascii="Arial" w:hAnsi="Arial" w:cs="Arial"/>
          <w:lang w:val="es-MX"/>
        </w:rPr>
      </w:pPr>
      <w:r w:rsidRPr="00E53110">
        <w:rPr>
          <w:rFonts w:ascii="Arial" w:hAnsi="Arial" w:cs="Arial"/>
          <w:lang w:val="es-MX"/>
        </w:rPr>
        <w:t xml:space="preserve">En el caso de que los presuntos incumplimientos acrediten el posible inicio de un procedimiento sancionador, con el informe recibido de la Unidad de Vigilancia de Sistemas de Pagos y del DPV, el Gerente informará a la Presidencia del BCR y enviará el expediente administrativo del caso a la Gerencia Legal, a quien se delega mediante el presente Instructivo para iniciar y diligenciar el </w:t>
      </w:r>
      <w:r w:rsidRPr="00E53110">
        <w:rPr>
          <w:rFonts w:ascii="Arial" w:hAnsi="Arial" w:cs="Arial"/>
          <w:lang w:val="es-MX"/>
        </w:rPr>
        <w:lastRenderedPageBreak/>
        <w:t>respectivo procedimiento sancionador, de conformidad a lo indicado en los Artículos 94 y 95 de la Ley Orgánica del Banco Central de Reserva de El Salvador y aplicando en lo pertinente la Ley de Procedimientos Administrativos.</w:t>
      </w:r>
    </w:p>
    <w:p w14:paraId="5B6285FD" w14:textId="08CFBB31" w:rsidR="00E53110" w:rsidRDefault="00E53110" w:rsidP="004E4C5E">
      <w:pPr>
        <w:pStyle w:val="Standardtext"/>
        <w:spacing w:before="240" w:after="240"/>
        <w:ind w:left="2268"/>
        <w:jc w:val="both"/>
        <w:rPr>
          <w:rFonts w:ascii="Arial" w:hAnsi="Arial" w:cs="Arial"/>
          <w:lang w:val="es-MX"/>
        </w:rPr>
      </w:pPr>
      <w:r w:rsidRPr="00E53110">
        <w:rPr>
          <w:rFonts w:ascii="Arial" w:hAnsi="Arial" w:cs="Arial"/>
          <w:lang w:val="es-MX"/>
        </w:rPr>
        <w:t xml:space="preserve">Si en el informe técnico la Unidad de Vigilancia de Sistemas de Pagos del BCR establece recomendación de acciones de mejora o haber definido un Plan de ajuste obligatorio   para que el Participante subsane el o los incumplimientos, el DPV le notificará a más tardar al siguiente día hábil de recibido dicho informe, con copia a la UVSP. </w:t>
      </w:r>
    </w:p>
    <w:p w14:paraId="475166C7" w14:textId="18E0CD51" w:rsidR="00E53110" w:rsidRPr="00A41D62" w:rsidRDefault="00E53110" w:rsidP="00EF7599">
      <w:pPr>
        <w:pStyle w:val="Standardtext"/>
        <w:numPr>
          <w:ilvl w:val="3"/>
          <w:numId w:val="15"/>
        </w:numPr>
        <w:spacing w:before="240" w:after="240"/>
        <w:ind w:left="2268" w:hanging="850"/>
        <w:jc w:val="both"/>
        <w:rPr>
          <w:rFonts w:ascii="Arial" w:hAnsi="Arial" w:cs="Arial"/>
          <w:lang w:val="es-MX"/>
        </w:rPr>
      </w:pPr>
      <w:r w:rsidRPr="00E53110">
        <w:rPr>
          <w:rFonts w:ascii="Arial" w:hAnsi="Arial" w:cs="Arial"/>
          <w:lang w:val="es-MX"/>
        </w:rPr>
        <w:t>Los incumplimientos al presente Instructivo por parte de los Participantes que tengan como origen fallas internas y tecnológicas del BCR, no serán considerados como tal.  Dichas fallas serán notificadas por el Jefe del DPV a los Participantes, a la Gerencia de Operaciones Financieras y a la Unidad de Vigilancia de Sistemas de Pagos de forma inmediata.</w:t>
      </w:r>
    </w:p>
    <w:p w14:paraId="69D58017" w14:textId="5962663B" w:rsidR="003B5E94" w:rsidRPr="00871890" w:rsidRDefault="00D705A1" w:rsidP="00871890">
      <w:pPr>
        <w:pStyle w:val="Standardtext"/>
        <w:numPr>
          <w:ilvl w:val="1"/>
          <w:numId w:val="15"/>
        </w:numPr>
        <w:spacing w:before="240" w:after="240"/>
        <w:ind w:left="851" w:hanging="567"/>
        <w:jc w:val="both"/>
        <w:rPr>
          <w:rFonts w:ascii="Arial" w:hAnsi="Arial" w:cs="Arial"/>
          <w:lang w:val="es-MX"/>
        </w:rPr>
      </w:pPr>
      <w:r w:rsidRPr="00D705A1">
        <w:rPr>
          <w:rFonts w:ascii="Arial" w:hAnsi="Arial" w:cs="Arial"/>
          <w:lang w:val="es-MX"/>
        </w:rPr>
        <w:t xml:space="preserve">Las diferencias o controversias que surjan entre los </w:t>
      </w:r>
      <w:r w:rsidR="00EB68BE">
        <w:rPr>
          <w:rFonts w:ascii="Arial" w:hAnsi="Arial" w:cs="Arial"/>
          <w:lang w:val="es-MX"/>
        </w:rPr>
        <w:t>Participante</w:t>
      </w:r>
      <w:r w:rsidRPr="00D705A1">
        <w:rPr>
          <w:rFonts w:ascii="Arial" w:hAnsi="Arial" w:cs="Arial"/>
          <w:lang w:val="es-MX"/>
        </w:rPr>
        <w:t>s, derivadas de las operaciones que realicen en el Transfer365, se resolverán entre las partes involucradas, lo cual deberá ser comunicado al DPV.</w:t>
      </w:r>
    </w:p>
    <w:p w14:paraId="5EC6E43A" w14:textId="2A545125" w:rsidR="003B5E94" w:rsidRPr="00BD5EF4" w:rsidRDefault="00677E90" w:rsidP="00BD5EF4">
      <w:pPr>
        <w:pStyle w:val="Standardtext"/>
        <w:numPr>
          <w:ilvl w:val="1"/>
          <w:numId w:val="15"/>
        </w:numPr>
        <w:spacing w:before="240" w:after="240"/>
        <w:ind w:left="851" w:hanging="567"/>
        <w:jc w:val="both"/>
        <w:rPr>
          <w:rFonts w:ascii="Arial" w:hAnsi="Arial" w:cs="Arial"/>
          <w:lang w:val="es-MX"/>
        </w:rPr>
      </w:pPr>
      <w:r w:rsidRPr="00677E90">
        <w:rPr>
          <w:rFonts w:ascii="Arial" w:hAnsi="Arial" w:cs="Arial"/>
          <w:lang w:val="es-MX"/>
        </w:rPr>
        <w:t>Las soluciones a los casos no contemplados que se presenten y que tengan como origen situaciones de índole operativo no descritas en el presente Instructivo, serán autorizadas por Gerente y en caso de su ausencia, podrá delegar tal autorización en el jefe del DPV.</w:t>
      </w:r>
    </w:p>
    <w:p w14:paraId="2E2DA930" w14:textId="08A2DEB5" w:rsidR="002C129C" w:rsidRDefault="008F0977" w:rsidP="00BD5EF4">
      <w:pPr>
        <w:pStyle w:val="Standardtext"/>
        <w:numPr>
          <w:ilvl w:val="1"/>
          <w:numId w:val="15"/>
        </w:numPr>
        <w:spacing w:before="240" w:after="240"/>
        <w:ind w:left="851" w:hanging="567"/>
        <w:jc w:val="both"/>
        <w:rPr>
          <w:rFonts w:ascii="Arial" w:hAnsi="Arial" w:cs="Arial"/>
          <w:lang w:val="es-MX"/>
        </w:rPr>
      </w:pPr>
      <w:r w:rsidRPr="008F0977">
        <w:rPr>
          <w:rFonts w:ascii="Arial" w:hAnsi="Arial" w:cs="Arial"/>
          <w:lang w:val="es-MX"/>
        </w:rPr>
        <w:t>Los casos no contemplados en el presente Instructivo y que no estén relacionados con aspectos operativos serán resueltos por el Consejo Directivo del BCR.</w:t>
      </w:r>
    </w:p>
    <w:p w14:paraId="7AD057C5" w14:textId="334E2943" w:rsidR="00401EFF" w:rsidRPr="00401EFF" w:rsidRDefault="00401EFF" w:rsidP="00401EFF">
      <w:pPr>
        <w:pStyle w:val="Standardtext"/>
        <w:numPr>
          <w:ilvl w:val="1"/>
          <w:numId w:val="15"/>
        </w:numPr>
        <w:spacing w:before="240" w:after="240"/>
        <w:ind w:left="851" w:hanging="567"/>
        <w:jc w:val="both"/>
        <w:rPr>
          <w:rFonts w:ascii="Arial" w:hAnsi="Arial" w:cs="Arial"/>
          <w:lang w:val="es-MX"/>
        </w:rPr>
      </w:pPr>
      <w:r w:rsidRPr="00401EFF">
        <w:rPr>
          <w:rFonts w:ascii="Arial" w:hAnsi="Arial" w:cs="Arial"/>
          <w:lang w:val="es-MX"/>
        </w:rPr>
        <w:t xml:space="preserve">Un </w:t>
      </w:r>
      <w:r w:rsidR="00EB68BE">
        <w:rPr>
          <w:rFonts w:ascii="Arial" w:hAnsi="Arial" w:cs="Arial"/>
          <w:lang w:val="es-MX"/>
        </w:rPr>
        <w:t>Participante</w:t>
      </w:r>
      <w:r w:rsidRPr="00401EFF">
        <w:rPr>
          <w:rFonts w:ascii="Arial" w:hAnsi="Arial" w:cs="Arial"/>
          <w:lang w:val="es-MX"/>
        </w:rPr>
        <w:t>, únicamente podrá ser sancionado con multa, suspensión o exclusión del Transfer365</w:t>
      </w:r>
      <w:r w:rsidR="0012453A">
        <w:rPr>
          <w:rFonts w:ascii="Arial" w:hAnsi="Arial" w:cs="Arial"/>
          <w:lang w:val="es-MX"/>
        </w:rPr>
        <w:t>,</w:t>
      </w:r>
      <w:r w:rsidRPr="00401EFF">
        <w:rPr>
          <w:rFonts w:ascii="Arial" w:hAnsi="Arial" w:cs="Arial"/>
          <w:lang w:val="es-MX"/>
        </w:rPr>
        <w:t xml:space="preserve"> previo al debido procedimiento administrativo sancionador, por el incumplimiento a las disposiciones contenidas en el presente Instructivo, las cuales establecen las normas que rigen el ingreso y la participación en el Transfer365 para el normal funcionamiento de dicho Sistema de Pagos.</w:t>
      </w:r>
    </w:p>
    <w:p w14:paraId="6CC8BE50" w14:textId="05C9DFE1" w:rsidR="00401EFF" w:rsidRPr="00401EFF" w:rsidRDefault="00401EFF" w:rsidP="00401EFF">
      <w:pPr>
        <w:pStyle w:val="Standardtext"/>
        <w:spacing w:before="240" w:after="240"/>
        <w:ind w:left="851"/>
        <w:jc w:val="both"/>
        <w:rPr>
          <w:rFonts w:ascii="Arial" w:hAnsi="Arial" w:cs="Arial"/>
          <w:lang w:val="es-MX"/>
        </w:rPr>
      </w:pPr>
      <w:r w:rsidRPr="00401EFF">
        <w:rPr>
          <w:rFonts w:ascii="Arial" w:hAnsi="Arial" w:cs="Arial"/>
          <w:lang w:val="es-MX"/>
        </w:rPr>
        <w:t xml:space="preserve">También se podrá suspender temporalmente a un </w:t>
      </w:r>
      <w:r w:rsidR="00EB68BE">
        <w:rPr>
          <w:rFonts w:ascii="Arial" w:hAnsi="Arial" w:cs="Arial"/>
          <w:lang w:val="es-MX"/>
        </w:rPr>
        <w:t>Participante</w:t>
      </w:r>
      <w:r w:rsidRPr="00401EFF">
        <w:rPr>
          <w:rFonts w:ascii="Arial" w:hAnsi="Arial" w:cs="Arial"/>
          <w:lang w:val="es-MX"/>
        </w:rPr>
        <w:t xml:space="preserve"> del Transfer365 por la aplicación de medida provisional con motivo o dentro de un procedimiento administrativo sancionador.</w:t>
      </w:r>
    </w:p>
    <w:p w14:paraId="06CD4E5A" w14:textId="5544A229" w:rsidR="00401EFF" w:rsidRPr="00401EFF" w:rsidRDefault="00401EFF" w:rsidP="00401EFF">
      <w:pPr>
        <w:pStyle w:val="Standardtext"/>
        <w:spacing w:before="240" w:after="240"/>
        <w:ind w:left="851"/>
        <w:jc w:val="both"/>
        <w:rPr>
          <w:rFonts w:ascii="Arial" w:hAnsi="Arial" w:cs="Arial"/>
          <w:lang w:val="es-MX"/>
        </w:rPr>
      </w:pPr>
      <w:r w:rsidRPr="00401EFF">
        <w:rPr>
          <w:rFonts w:ascii="Arial" w:hAnsi="Arial" w:cs="Arial"/>
          <w:lang w:val="es-MX"/>
        </w:rPr>
        <w:lastRenderedPageBreak/>
        <w:t xml:space="preserve">Sin perjuicio de lo anterior, dejará de tener la calidad de </w:t>
      </w:r>
      <w:r w:rsidR="00EB68BE">
        <w:rPr>
          <w:rFonts w:ascii="Arial" w:hAnsi="Arial" w:cs="Arial"/>
          <w:lang w:val="es-MX"/>
        </w:rPr>
        <w:t>Participante</w:t>
      </w:r>
      <w:r w:rsidRPr="00401EFF">
        <w:rPr>
          <w:rFonts w:ascii="Arial" w:hAnsi="Arial" w:cs="Arial"/>
          <w:lang w:val="es-MX"/>
        </w:rPr>
        <w:t xml:space="preserve"> del Sistema Transfer365 por resolución judicial o administrativa firme, ya sea que así lo ordene expresamente o se derive como consecuencia de la resolución.</w:t>
      </w:r>
    </w:p>
    <w:p w14:paraId="7079AEEF" w14:textId="7ABEAAC5" w:rsidR="00401EFF" w:rsidRDefault="00401EFF" w:rsidP="00401EFF">
      <w:pPr>
        <w:pStyle w:val="Standardtext"/>
        <w:spacing w:before="240" w:after="240"/>
        <w:ind w:left="851"/>
        <w:jc w:val="both"/>
        <w:rPr>
          <w:rFonts w:ascii="Arial" w:hAnsi="Arial" w:cs="Arial"/>
          <w:lang w:val="es-MX"/>
        </w:rPr>
      </w:pPr>
      <w:r w:rsidRPr="00401EFF">
        <w:rPr>
          <w:rFonts w:ascii="Arial" w:hAnsi="Arial" w:cs="Arial"/>
          <w:lang w:val="es-MX"/>
        </w:rPr>
        <w:t xml:space="preserve">En el caso de que un </w:t>
      </w:r>
      <w:r w:rsidR="00EB68BE">
        <w:rPr>
          <w:rFonts w:ascii="Arial" w:hAnsi="Arial" w:cs="Arial"/>
          <w:lang w:val="es-MX"/>
        </w:rPr>
        <w:t>Participante</w:t>
      </w:r>
      <w:r w:rsidRPr="00401EFF">
        <w:rPr>
          <w:rFonts w:ascii="Arial" w:hAnsi="Arial" w:cs="Arial"/>
          <w:lang w:val="es-MX"/>
        </w:rPr>
        <w:t xml:space="preserve"> deje de tener la calidad de </w:t>
      </w:r>
      <w:r w:rsidR="00EB68BE">
        <w:rPr>
          <w:rFonts w:ascii="Arial" w:hAnsi="Arial" w:cs="Arial"/>
          <w:lang w:val="es-MX"/>
        </w:rPr>
        <w:t>Participante</w:t>
      </w:r>
      <w:r w:rsidRPr="00401EFF">
        <w:rPr>
          <w:rFonts w:ascii="Arial" w:hAnsi="Arial" w:cs="Arial"/>
          <w:lang w:val="es-MX"/>
        </w:rPr>
        <w:t xml:space="preserve"> del Sistema Transfer365 o se ha suspendido temporalmente se procederá</w:t>
      </w:r>
      <w:r w:rsidR="00C34FEB">
        <w:rPr>
          <w:rFonts w:ascii="Arial" w:hAnsi="Arial" w:cs="Arial"/>
          <w:lang w:val="es-MX"/>
        </w:rPr>
        <w:t xml:space="preserve"> a</w:t>
      </w:r>
      <w:r w:rsidRPr="00401EFF">
        <w:rPr>
          <w:rFonts w:ascii="Arial" w:hAnsi="Arial" w:cs="Arial"/>
          <w:lang w:val="es-MX"/>
        </w:rPr>
        <w:t xml:space="preserve"> retirar su participación en el referido sistema a partir del mismo día en que el BCR reciba la notificación de dichos casos, lo que será comunicado por el Gerente y quedará deshabilitado en el Sistema para que ya no pueda realizar operaciones.</w:t>
      </w:r>
    </w:p>
    <w:p w14:paraId="7C72720E" w14:textId="77777777" w:rsidR="00137D48" w:rsidRPr="00164B2B" w:rsidRDefault="00137D48" w:rsidP="00137D48">
      <w:pPr>
        <w:pStyle w:val="Standardtext"/>
        <w:numPr>
          <w:ilvl w:val="1"/>
          <w:numId w:val="15"/>
        </w:numPr>
        <w:spacing w:before="240" w:after="240"/>
        <w:ind w:left="851" w:hanging="567"/>
        <w:jc w:val="both"/>
        <w:rPr>
          <w:rFonts w:ascii="Arial" w:hAnsi="Arial" w:cs="Arial"/>
          <w:lang w:val="es-MX"/>
        </w:rPr>
      </w:pPr>
      <w:r w:rsidRPr="00164B2B">
        <w:rPr>
          <w:rFonts w:ascii="Arial" w:hAnsi="Arial" w:cs="Arial"/>
          <w:lang w:val="es-MX"/>
        </w:rPr>
        <w:t>Excepciones</w:t>
      </w:r>
    </w:p>
    <w:p w14:paraId="6473BFA0" w14:textId="5E9C5C9E" w:rsidR="00E53110" w:rsidRDefault="00E53110" w:rsidP="00137D48">
      <w:pPr>
        <w:pStyle w:val="Standardtext"/>
        <w:spacing w:before="240" w:after="240"/>
        <w:ind w:left="851"/>
        <w:jc w:val="both"/>
        <w:rPr>
          <w:rFonts w:ascii="Arial" w:hAnsi="Arial" w:cs="Arial"/>
          <w:lang w:val="es-MX"/>
        </w:rPr>
      </w:pPr>
      <w:r w:rsidRPr="00E53110">
        <w:rPr>
          <w:rFonts w:ascii="Arial" w:hAnsi="Arial" w:cs="Arial"/>
          <w:lang w:val="es-MX"/>
        </w:rPr>
        <w:t xml:space="preserve">En caso de que un Participante por su naturaleza, segmento y estrategia de negocio no pueda proporcionar algún servicio, opción, producto o funcionalidad en sus canales físicos o electrónicos del Transfer365, el </w:t>
      </w:r>
      <w:proofErr w:type="gramStart"/>
      <w:r w:rsidRPr="00E53110">
        <w:rPr>
          <w:rFonts w:ascii="Arial" w:hAnsi="Arial" w:cs="Arial"/>
          <w:lang w:val="es-MX"/>
        </w:rPr>
        <w:t>Presidente</w:t>
      </w:r>
      <w:proofErr w:type="gramEnd"/>
      <w:r w:rsidRPr="00E53110">
        <w:rPr>
          <w:rFonts w:ascii="Arial" w:hAnsi="Arial" w:cs="Arial"/>
          <w:lang w:val="es-MX"/>
        </w:rPr>
        <w:t xml:space="preserve"> del BCR podrá autorizar una prórroga o la excepción correspondiente previa valoración de la Unidad de Vigilancia de los Sistemas de Pagos.  En estos casos, el participante interesado deberá remitir a la Presidencia del BCR, una solicitud debidamente justificada y firmada por el Representante Legal o Apoderado de la entidad.</w:t>
      </w:r>
    </w:p>
    <w:p w14:paraId="1C93AFCC" w14:textId="77777777" w:rsidR="00D62852" w:rsidRPr="00BE5FA7" w:rsidRDefault="00D62852" w:rsidP="00D62852">
      <w:pPr>
        <w:pStyle w:val="Ttulo1"/>
        <w:ind w:left="284" w:hanging="284"/>
      </w:pPr>
      <w:bookmarkStart w:id="90" w:name="_Toc5699725"/>
      <w:bookmarkStart w:id="91" w:name="_Toc5897973"/>
      <w:bookmarkStart w:id="92" w:name="_Toc126599755"/>
      <w:r w:rsidRPr="00BE5FA7">
        <w:t>VIGENCIA, DISTRIBUCIÓN Y DIVULGACIÓN.</w:t>
      </w:r>
      <w:bookmarkEnd w:id="90"/>
      <w:bookmarkEnd w:id="91"/>
      <w:bookmarkEnd w:id="92"/>
    </w:p>
    <w:p w14:paraId="1DC39584" w14:textId="77777777" w:rsidR="005A4996" w:rsidRPr="005A4996" w:rsidRDefault="005A4996" w:rsidP="005A4996">
      <w:pPr>
        <w:pStyle w:val="Standardtext"/>
        <w:numPr>
          <w:ilvl w:val="1"/>
          <w:numId w:val="16"/>
        </w:numPr>
        <w:spacing w:before="240" w:after="120"/>
        <w:ind w:left="851" w:hanging="567"/>
        <w:jc w:val="both"/>
        <w:rPr>
          <w:rFonts w:ascii="Arial" w:hAnsi="Arial" w:cs="Arial"/>
          <w:lang w:val="es-MX"/>
        </w:rPr>
      </w:pPr>
      <w:r w:rsidRPr="005A4996">
        <w:rPr>
          <w:rFonts w:ascii="Arial" w:hAnsi="Arial" w:cs="Arial"/>
          <w:lang w:val="es-MX"/>
        </w:rPr>
        <w:t xml:space="preserve">El presente Instructivo </w:t>
      </w:r>
      <w:proofErr w:type="gramStart"/>
      <w:r w:rsidRPr="005A4996">
        <w:rPr>
          <w:rFonts w:ascii="Arial" w:hAnsi="Arial" w:cs="Arial"/>
          <w:lang w:val="es-MX"/>
        </w:rPr>
        <w:t>entrará en vigencia</w:t>
      </w:r>
      <w:proofErr w:type="gramEnd"/>
      <w:r w:rsidRPr="005A4996">
        <w:rPr>
          <w:rFonts w:ascii="Arial" w:hAnsi="Arial" w:cs="Arial"/>
          <w:lang w:val="es-MX"/>
        </w:rPr>
        <w:t xml:space="preserve"> a partir del 01 de abril de 2023 y deroga el autorizado en Sesión No. CD-07/2022 del 14 de marzo de 2022.</w:t>
      </w:r>
    </w:p>
    <w:p w14:paraId="2946D76F" w14:textId="734BBAC6" w:rsidR="005A4996" w:rsidRDefault="005A4996" w:rsidP="005A4996">
      <w:pPr>
        <w:pStyle w:val="Standardtext"/>
        <w:spacing w:before="240" w:after="120"/>
        <w:ind w:left="851"/>
        <w:jc w:val="both"/>
        <w:rPr>
          <w:rFonts w:ascii="Arial" w:hAnsi="Arial" w:cs="Arial"/>
          <w:lang w:val="es-MX"/>
        </w:rPr>
      </w:pPr>
      <w:r w:rsidRPr="005A4996">
        <w:rPr>
          <w:rFonts w:ascii="Arial" w:hAnsi="Arial" w:cs="Arial"/>
          <w:lang w:val="es-MX"/>
        </w:rPr>
        <w:t xml:space="preserve">Los procedimientos administrativos sancionadores iniciados previo a la </w:t>
      </w:r>
      <w:proofErr w:type="gramStart"/>
      <w:r w:rsidRPr="005A4996">
        <w:rPr>
          <w:rFonts w:ascii="Arial" w:hAnsi="Arial" w:cs="Arial"/>
          <w:lang w:val="es-MX"/>
        </w:rPr>
        <w:t>entrada en vigencia</w:t>
      </w:r>
      <w:proofErr w:type="gramEnd"/>
      <w:r w:rsidRPr="005A4996">
        <w:rPr>
          <w:rFonts w:ascii="Arial" w:hAnsi="Arial" w:cs="Arial"/>
          <w:lang w:val="es-MX"/>
        </w:rPr>
        <w:t xml:space="preserve"> del presente Instructivo, continuarán diligenciándose hasta su terminación conforme al Instructivo que mediante el presente se deroga.</w:t>
      </w:r>
    </w:p>
    <w:p w14:paraId="3C1647C0" w14:textId="3DCB6BCA" w:rsidR="005A4996" w:rsidRPr="00D27B8D" w:rsidRDefault="005A4996" w:rsidP="005A4996">
      <w:pPr>
        <w:pStyle w:val="Standardtext"/>
        <w:numPr>
          <w:ilvl w:val="1"/>
          <w:numId w:val="16"/>
        </w:numPr>
        <w:spacing w:before="240" w:after="120"/>
        <w:ind w:left="851" w:hanging="567"/>
        <w:jc w:val="both"/>
        <w:rPr>
          <w:rFonts w:ascii="Arial" w:hAnsi="Arial" w:cs="Arial"/>
          <w:lang w:val="es-MX"/>
        </w:rPr>
      </w:pPr>
      <w:r w:rsidRPr="005A4996">
        <w:rPr>
          <w:rFonts w:ascii="Arial" w:hAnsi="Arial" w:cs="Arial"/>
          <w:lang w:val="es-MX"/>
        </w:rPr>
        <w:t>El Consejo Directivo conservará una copia física de este Instructivo como respaldo al Acta de Aprobación y enviará el original a la Gerencia de Riesgos y Gestión Estratégica, para su custodia. Asimismo, entregará copia electrónica a la Gerencia de Operaciones Financieras y la autoriza para entregar copia electrónica a las Unidades siguientes:</w:t>
      </w:r>
    </w:p>
    <w:p w14:paraId="1DD4A5A1" w14:textId="54A3205D" w:rsidR="009E5932" w:rsidRPr="00BE5FA7" w:rsidRDefault="009E5932" w:rsidP="007012AA">
      <w:pPr>
        <w:pStyle w:val="Standardtext"/>
        <w:numPr>
          <w:ilvl w:val="2"/>
          <w:numId w:val="16"/>
        </w:numPr>
        <w:spacing w:before="120" w:after="120" w:line="240" w:lineRule="auto"/>
        <w:ind w:left="1560" w:hanging="709"/>
        <w:jc w:val="both"/>
        <w:rPr>
          <w:rFonts w:ascii="Arial" w:hAnsi="Arial" w:cs="Arial"/>
          <w:lang w:val="es-MX"/>
        </w:rPr>
      </w:pPr>
      <w:r w:rsidRPr="00BE5FA7">
        <w:rPr>
          <w:rFonts w:ascii="Arial" w:hAnsi="Arial" w:cs="Arial"/>
          <w:lang w:val="es-MX"/>
        </w:rPr>
        <w:t xml:space="preserve">Gerencia de </w:t>
      </w:r>
      <w:r w:rsidR="00C55A3D" w:rsidRPr="00BE5FA7">
        <w:rPr>
          <w:rFonts w:ascii="Arial" w:hAnsi="Arial" w:cs="Arial"/>
          <w:lang w:val="es-MX"/>
        </w:rPr>
        <w:t>Estabilida</w:t>
      </w:r>
      <w:r w:rsidR="00336D7B" w:rsidRPr="00BE5FA7">
        <w:rPr>
          <w:rFonts w:ascii="Arial" w:hAnsi="Arial" w:cs="Arial"/>
          <w:lang w:val="es-MX"/>
        </w:rPr>
        <w:t xml:space="preserve">d </w:t>
      </w:r>
      <w:r w:rsidRPr="00BE5FA7">
        <w:rPr>
          <w:rFonts w:ascii="Arial" w:hAnsi="Arial" w:cs="Arial"/>
          <w:lang w:val="es-MX"/>
        </w:rPr>
        <w:t>Financiera y Políticas Públicas</w:t>
      </w:r>
      <w:r w:rsidR="00336D7B" w:rsidRPr="00BE5FA7">
        <w:rPr>
          <w:rFonts w:ascii="Arial" w:hAnsi="Arial" w:cs="Arial"/>
          <w:lang w:val="es-MX"/>
        </w:rPr>
        <w:t>.</w:t>
      </w:r>
    </w:p>
    <w:p w14:paraId="29E32254" w14:textId="485CF525" w:rsidR="00897122" w:rsidRPr="00BE5FA7" w:rsidRDefault="009E5932" w:rsidP="007012AA">
      <w:pPr>
        <w:pStyle w:val="Standardtext"/>
        <w:numPr>
          <w:ilvl w:val="2"/>
          <w:numId w:val="16"/>
        </w:numPr>
        <w:spacing w:before="120" w:after="120" w:line="240" w:lineRule="auto"/>
        <w:ind w:left="1560" w:hanging="709"/>
        <w:jc w:val="both"/>
        <w:rPr>
          <w:rFonts w:ascii="Arial" w:hAnsi="Arial" w:cs="Arial"/>
          <w:lang w:val="es-MX"/>
        </w:rPr>
      </w:pPr>
      <w:r w:rsidRPr="00BE5FA7">
        <w:rPr>
          <w:rFonts w:ascii="Arial" w:hAnsi="Arial" w:cs="Arial"/>
          <w:lang w:val="es-MX"/>
        </w:rPr>
        <w:t>Departamento de Pagos y Valores</w:t>
      </w:r>
      <w:r w:rsidR="00336D7B" w:rsidRPr="00BE5FA7">
        <w:rPr>
          <w:rFonts w:ascii="Arial" w:hAnsi="Arial" w:cs="Arial"/>
          <w:lang w:val="es-MX"/>
        </w:rPr>
        <w:t>.</w:t>
      </w:r>
    </w:p>
    <w:p w14:paraId="31356861" w14:textId="55B9BE33" w:rsidR="00607D11" w:rsidRPr="00BE5FA7" w:rsidRDefault="005A4996" w:rsidP="007012AA">
      <w:pPr>
        <w:pStyle w:val="Standardtext"/>
        <w:numPr>
          <w:ilvl w:val="2"/>
          <w:numId w:val="16"/>
        </w:numPr>
        <w:spacing w:before="120" w:after="120" w:line="240" w:lineRule="auto"/>
        <w:ind w:left="1560" w:hanging="709"/>
        <w:jc w:val="both"/>
        <w:rPr>
          <w:rFonts w:ascii="Arial" w:hAnsi="Arial" w:cs="Arial"/>
          <w:lang w:val="es-MX"/>
        </w:rPr>
      </w:pPr>
      <w:r>
        <w:rPr>
          <w:rFonts w:ascii="Arial" w:hAnsi="Arial" w:cs="Arial"/>
          <w:lang w:val="es-MX"/>
        </w:rPr>
        <w:t>Gerencia Legal</w:t>
      </w:r>
    </w:p>
    <w:p w14:paraId="389FD271" w14:textId="69849509" w:rsidR="003E67E8" w:rsidRDefault="003E67E8" w:rsidP="00B1125E">
      <w:pPr>
        <w:pStyle w:val="Standardtext"/>
        <w:numPr>
          <w:ilvl w:val="2"/>
          <w:numId w:val="16"/>
        </w:numPr>
        <w:spacing w:before="120" w:after="120" w:line="240" w:lineRule="auto"/>
        <w:ind w:left="1560" w:hanging="709"/>
        <w:jc w:val="both"/>
        <w:rPr>
          <w:rFonts w:ascii="Arial" w:hAnsi="Arial" w:cs="Arial"/>
          <w:lang w:val="es-MX"/>
        </w:rPr>
      </w:pPr>
      <w:r w:rsidRPr="00BE5FA7">
        <w:rPr>
          <w:rFonts w:ascii="Arial" w:hAnsi="Arial" w:cs="Arial"/>
          <w:lang w:val="es-MX"/>
        </w:rPr>
        <w:t xml:space="preserve">Unidad de Vigilancia de los </w:t>
      </w:r>
      <w:r w:rsidR="00BE5FA7" w:rsidRPr="00BE5FA7">
        <w:rPr>
          <w:rFonts w:ascii="Arial" w:hAnsi="Arial" w:cs="Arial"/>
          <w:lang w:val="es-MX"/>
        </w:rPr>
        <w:t>S</w:t>
      </w:r>
      <w:r w:rsidRPr="00BE5FA7">
        <w:rPr>
          <w:rFonts w:ascii="Arial" w:hAnsi="Arial" w:cs="Arial"/>
          <w:lang w:val="es-MX"/>
        </w:rPr>
        <w:t>istemas de Pago.</w:t>
      </w:r>
    </w:p>
    <w:p w14:paraId="1E56736E" w14:textId="7190ADD5" w:rsidR="00B1125E" w:rsidRDefault="00B1125E" w:rsidP="00B1125E">
      <w:pPr>
        <w:pStyle w:val="Standardtext"/>
        <w:numPr>
          <w:ilvl w:val="2"/>
          <w:numId w:val="16"/>
        </w:numPr>
        <w:spacing w:before="120" w:after="120" w:line="240" w:lineRule="auto"/>
        <w:ind w:left="1560" w:hanging="709"/>
        <w:jc w:val="both"/>
        <w:rPr>
          <w:rFonts w:ascii="Arial" w:hAnsi="Arial" w:cs="Arial"/>
          <w:lang w:val="es-MX"/>
        </w:rPr>
      </w:pPr>
      <w:r w:rsidRPr="00B1125E">
        <w:rPr>
          <w:rFonts w:ascii="Arial" w:hAnsi="Arial" w:cs="Arial"/>
          <w:lang w:val="es-MX"/>
        </w:rPr>
        <w:t>Gerencia de Innovación y Tecnología de Información.</w:t>
      </w:r>
    </w:p>
    <w:p w14:paraId="5669A782" w14:textId="77777777" w:rsidR="00A726B7" w:rsidRPr="00A726B7" w:rsidRDefault="00A726B7" w:rsidP="00A726B7">
      <w:pPr>
        <w:pStyle w:val="Standardtext"/>
        <w:spacing w:before="120" w:after="120" w:line="240" w:lineRule="auto"/>
        <w:ind w:left="1560"/>
        <w:jc w:val="both"/>
        <w:rPr>
          <w:rFonts w:ascii="Arial" w:hAnsi="Arial" w:cs="Arial"/>
          <w:sz w:val="6"/>
          <w:szCs w:val="6"/>
          <w:lang w:val="es-MX"/>
        </w:rPr>
      </w:pPr>
    </w:p>
    <w:p w14:paraId="487BC687" w14:textId="17B6228B" w:rsidR="009E5932" w:rsidRPr="00BE5FA7" w:rsidRDefault="00A726B7" w:rsidP="00D2510A">
      <w:pPr>
        <w:pStyle w:val="Textoindependiente3"/>
        <w:numPr>
          <w:ilvl w:val="1"/>
          <w:numId w:val="16"/>
        </w:numPr>
        <w:tabs>
          <w:tab w:val="left" w:pos="-1843"/>
          <w:tab w:val="left" w:pos="-1701"/>
          <w:tab w:val="left" w:pos="-720"/>
        </w:tabs>
        <w:spacing w:line="276" w:lineRule="auto"/>
        <w:ind w:left="851" w:hanging="567"/>
        <w:jc w:val="both"/>
        <w:rPr>
          <w:rFonts w:ascii="Arial" w:hAnsi="Arial" w:cs="Arial"/>
          <w:bCs/>
          <w:sz w:val="22"/>
          <w:szCs w:val="22"/>
        </w:rPr>
      </w:pPr>
      <w:bookmarkStart w:id="93" w:name="_Toc5699726"/>
      <w:bookmarkStart w:id="94" w:name="_Toc5891051"/>
      <w:bookmarkStart w:id="95" w:name="_Toc5892162"/>
      <w:r w:rsidRPr="00A726B7">
        <w:rPr>
          <w:rFonts w:ascii="Arial" w:hAnsi="Arial" w:cs="Arial"/>
          <w:bCs/>
          <w:sz w:val="22"/>
          <w:szCs w:val="22"/>
        </w:rPr>
        <w:lastRenderedPageBreak/>
        <w:t>El Gerente a través del DPV, divulgará el presente Instructivo a las Unidades Administrativas del BCR correspondientes.</w:t>
      </w:r>
    </w:p>
    <w:p w14:paraId="4F7C03A1" w14:textId="2FCD1A8C" w:rsidR="009E5932" w:rsidRPr="00BE5FA7" w:rsidRDefault="009E5932" w:rsidP="00D2510A">
      <w:pPr>
        <w:pStyle w:val="Textoindependiente3"/>
        <w:numPr>
          <w:ilvl w:val="1"/>
          <w:numId w:val="16"/>
        </w:numPr>
        <w:tabs>
          <w:tab w:val="left" w:pos="-1843"/>
          <w:tab w:val="left" w:pos="-1701"/>
          <w:tab w:val="left" w:pos="-720"/>
        </w:tabs>
        <w:spacing w:line="276" w:lineRule="auto"/>
        <w:ind w:left="851" w:hanging="567"/>
        <w:jc w:val="both"/>
        <w:rPr>
          <w:rFonts w:ascii="Arial" w:hAnsi="Arial" w:cs="Arial"/>
          <w:bCs/>
          <w:sz w:val="22"/>
          <w:szCs w:val="22"/>
        </w:rPr>
      </w:pPr>
      <w:bookmarkStart w:id="96" w:name="_Hlk19807491"/>
      <w:r w:rsidRPr="00BE5FA7">
        <w:rPr>
          <w:rFonts w:ascii="Arial" w:hAnsi="Arial" w:cs="Arial"/>
          <w:bCs/>
          <w:sz w:val="22"/>
          <w:szCs w:val="22"/>
        </w:rPr>
        <w:t>Se autoriza a</w:t>
      </w:r>
      <w:r w:rsidR="0074164E">
        <w:rPr>
          <w:rFonts w:ascii="Arial" w:hAnsi="Arial" w:cs="Arial"/>
          <w:bCs/>
          <w:sz w:val="22"/>
          <w:szCs w:val="22"/>
        </w:rPr>
        <w:t xml:space="preserve"> la Gerencia </w:t>
      </w:r>
      <w:r w:rsidRPr="00BE5FA7">
        <w:rPr>
          <w:rFonts w:ascii="Arial" w:hAnsi="Arial" w:cs="Arial"/>
          <w:bCs/>
          <w:sz w:val="22"/>
          <w:szCs w:val="22"/>
        </w:rPr>
        <w:t xml:space="preserve">de Riesgos y Gestión Estratégica, para que publique este Instructivo en el Sistema de Instrumentos Administrativos del BCR, para que esté disponible para consulta general, a excepción del Anexo No. 1 </w:t>
      </w:r>
      <w:r w:rsidR="006D5FCF" w:rsidRPr="00BE5FA7">
        <w:rPr>
          <w:rFonts w:ascii="Arial" w:hAnsi="Arial" w:cs="Arial"/>
          <w:bCs/>
          <w:sz w:val="22"/>
          <w:szCs w:val="22"/>
        </w:rPr>
        <w:t xml:space="preserve">del presente Instructivo: </w:t>
      </w:r>
      <w:r w:rsidRPr="00BE5FA7">
        <w:rPr>
          <w:rFonts w:ascii="Arial" w:hAnsi="Arial" w:cs="Arial"/>
          <w:bCs/>
          <w:sz w:val="22"/>
          <w:szCs w:val="22"/>
        </w:rPr>
        <w:t>“Lineamientos de Seguridad de la Información”.</w:t>
      </w:r>
    </w:p>
    <w:bookmarkEnd w:id="96"/>
    <w:p w14:paraId="003E519C" w14:textId="77777777" w:rsidR="001B454E" w:rsidRDefault="009E5932" w:rsidP="00460EA2">
      <w:pPr>
        <w:pStyle w:val="Textoindependiente3"/>
        <w:numPr>
          <w:ilvl w:val="1"/>
          <w:numId w:val="16"/>
        </w:numPr>
        <w:tabs>
          <w:tab w:val="left" w:pos="-1843"/>
          <w:tab w:val="left" w:pos="-1701"/>
          <w:tab w:val="left" w:pos="-720"/>
        </w:tabs>
        <w:spacing w:line="276" w:lineRule="auto"/>
        <w:ind w:left="851" w:hanging="567"/>
        <w:jc w:val="both"/>
        <w:rPr>
          <w:rFonts w:ascii="Arial" w:hAnsi="Arial" w:cs="Arial"/>
          <w:bCs/>
          <w:sz w:val="22"/>
          <w:szCs w:val="22"/>
        </w:rPr>
        <w:sectPr w:rsidR="001B454E" w:rsidSect="00EE4769">
          <w:headerReference w:type="default" r:id="rId17"/>
          <w:footerReference w:type="default" r:id="rId18"/>
          <w:footerReference w:type="first" r:id="rId19"/>
          <w:pgSz w:w="12240" w:h="15840" w:code="1"/>
          <w:pgMar w:top="1418" w:right="1701" w:bottom="1418" w:left="1701" w:header="720" w:footer="124" w:gutter="0"/>
          <w:cols w:space="720"/>
          <w:titlePg/>
          <w:docGrid w:linePitch="360"/>
        </w:sectPr>
      </w:pPr>
      <w:r w:rsidRPr="002562BC">
        <w:rPr>
          <w:rFonts w:ascii="Arial" w:hAnsi="Arial" w:cs="Arial"/>
          <w:bCs/>
          <w:sz w:val="22"/>
          <w:szCs w:val="22"/>
        </w:rPr>
        <w:t xml:space="preserve">Se autoriza a la Presidencia para remitir el presente Instructivo a los </w:t>
      </w:r>
      <w:r w:rsidR="00EB68BE">
        <w:rPr>
          <w:rFonts w:ascii="Arial" w:hAnsi="Arial" w:cs="Arial"/>
          <w:bCs/>
          <w:sz w:val="22"/>
          <w:szCs w:val="22"/>
        </w:rPr>
        <w:t>Participante</w:t>
      </w:r>
      <w:r w:rsidRPr="002562BC">
        <w:rPr>
          <w:rFonts w:ascii="Arial" w:hAnsi="Arial" w:cs="Arial"/>
          <w:bCs/>
          <w:sz w:val="22"/>
          <w:szCs w:val="22"/>
        </w:rPr>
        <w:t xml:space="preserve">s siguiendo los mecanismos de distribución y control de envío establecidos, y publicarlo en la página Web del BCR, para conocimiento del público en general, </w:t>
      </w:r>
      <w:bookmarkStart w:id="97" w:name="_Hlk19807570"/>
      <w:r w:rsidRPr="002562BC">
        <w:rPr>
          <w:rFonts w:ascii="Arial" w:hAnsi="Arial" w:cs="Arial"/>
          <w:bCs/>
          <w:sz w:val="22"/>
          <w:szCs w:val="22"/>
        </w:rPr>
        <w:t>a excepción del Anexo No. 1</w:t>
      </w:r>
      <w:r w:rsidR="006D5FCF" w:rsidRPr="002562BC">
        <w:rPr>
          <w:rFonts w:ascii="Arial" w:hAnsi="Arial" w:cs="Arial"/>
          <w:bCs/>
          <w:sz w:val="22"/>
          <w:szCs w:val="22"/>
        </w:rPr>
        <w:t xml:space="preserve"> del presente Instructivo</w:t>
      </w:r>
      <w:r w:rsidRPr="002562BC">
        <w:rPr>
          <w:rFonts w:ascii="Arial" w:hAnsi="Arial" w:cs="Arial"/>
          <w:bCs/>
          <w:sz w:val="22"/>
          <w:szCs w:val="22"/>
        </w:rPr>
        <w:t xml:space="preserve"> “Lineamientos de Seguridad de la Información”.</w:t>
      </w:r>
      <w:bookmarkEnd w:id="97"/>
    </w:p>
    <w:p w14:paraId="4A28BD9B" w14:textId="71D704B7" w:rsidR="00897122" w:rsidRPr="002562BC" w:rsidRDefault="00897122" w:rsidP="003A0744">
      <w:pPr>
        <w:pStyle w:val="Textoindependiente3"/>
        <w:tabs>
          <w:tab w:val="left" w:pos="-1843"/>
          <w:tab w:val="left" w:pos="-1701"/>
          <w:tab w:val="left" w:pos="-720"/>
          <w:tab w:val="left" w:pos="1934"/>
        </w:tabs>
        <w:spacing w:line="276" w:lineRule="auto"/>
        <w:ind w:left="851"/>
        <w:jc w:val="center"/>
        <w:rPr>
          <w:b/>
          <w:sz w:val="28"/>
          <w:lang w:val="es-MX"/>
        </w:rPr>
      </w:pPr>
      <w:r w:rsidRPr="002562BC">
        <w:rPr>
          <w:b/>
          <w:sz w:val="28"/>
          <w:lang w:val="es-MX"/>
        </w:rPr>
        <w:lastRenderedPageBreak/>
        <w:t>CUADRO DE CONTROL DE MODIFICACIONES</w:t>
      </w:r>
      <w:bookmarkEnd w:id="93"/>
      <w:bookmarkEnd w:id="94"/>
      <w:bookmarkEnd w:id="95"/>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366"/>
        <w:gridCol w:w="3544"/>
        <w:gridCol w:w="1418"/>
      </w:tblGrid>
      <w:tr w:rsidR="009D76BC" w14:paraId="73269CAA" w14:textId="77777777" w:rsidTr="009D76BC">
        <w:trPr>
          <w:trHeight w:val="39"/>
          <w:tblHeader/>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07EA06" w14:textId="77777777" w:rsidR="009D76BC" w:rsidRDefault="009D76BC">
            <w:pPr>
              <w:pStyle w:val="Standardtext"/>
              <w:spacing w:before="0" w:after="0" w:line="240" w:lineRule="auto"/>
              <w:jc w:val="center"/>
              <w:rPr>
                <w:rFonts w:ascii="Arial" w:hAnsi="Arial" w:cs="Arial"/>
                <w:b/>
                <w:lang w:val="es-SV"/>
              </w:rPr>
            </w:pPr>
            <w:r>
              <w:rPr>
                <w:rFonts w:ascii="Arial" w:hAnsi="Arial" w:cs="Arial"/>
                <w:b/>
                <w:lang w:val="es-SV"/>
              </w:rPr>
              <w:t>No. Revisión</w:t>
            </w:r>
          </w:p>
        </w:tc>
        <w:tc>
          <w:tcPr>
            <w:tcW w:w="336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A9BBBA" w14:textId="77777777" w:rsidR="009D76BC" w:rsidRDefault="009D76BC">
            <w:pPr>
              <w:pStyle w:val="Standardtext"/>
              <w:spacing w:before="0" w:after="0" w:line="240" w:lineRule="auto"/>
              <w:jc w:val="center"/>
              <w:rPr>
                <w:rFonts w:ascii="Arial" w:hAnsi="Arial" w:cs="Arial"/>
                <w:b/>
                <w:lang w:val="es-SV"/>
              </w:rPr>
            </w:pPr>
            <w:r>
              <w:rPr>
                <w:rFonts w:ascii="Arial" w:hAnsi="Arial" w:cs="Arial"/>
                <w:b/>
                <w:lang w:val="es-SV"/>
              </w:rPr>
              <w:t>Versión Anterior</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93965A" w14:textId="77777777" w:rsidR="009D76BC" w:rsidRDefault="009D76BC">
            <w:pPr>
              <w:pStyle w:val="Standardtext"/>
              <w:spacing w:before="0" w:after="0" w:line="240" w:lineRule="auto"/>
              <w:jc w:val="center"/>
              <w:rPr>
                <w:rFonts w:ascii="Arial" w:hAnsi="Arial" w:cs="Arial"/>
                <w:b/>
                <w:lang w:val="es-SV"/>
              </w:rPr>
            </w:pPr>
            <w:r>
              <w:rPr>
                <w:rFonts w:ascii="Arial" w:hAnsi="Arial" w:cs="Arial"/>
                <w:b/>
                <w:lang w:val="es-SV"/>
              </w:rPr>
              <w:t>Versión Aprobada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FBD4FC" w14:textId="77777777" w:rsidR="009D76BC" w:rsidRDefault="009D76BC">
            <w:pPr>
              <w:pStyle w:val="Standardtext"/>
              <w:spacing w:before="0" w:after="0" w:line="240" w:lineRule="auto"/>
              <w:jc w:val="center"/>
              <w:rPr>
                <w:rFonts w:ascii="Arial" w:hAnsi="Arial" w:cs="Arial"/>
                <w:lang w:val="es-SV"/>
              </w:rPr>
            </w:pPr>
            <w:r>
              <w:rPr>
                <w:rFonts w:ascii="Arial" w:hAnsi="Arial" w:cs="Arial"/>
                <w:b/>
                <w:lang w:val="es-SV"/>
              </w:rPr>
              <w:t>Aprobador y fecha</w:t>
            </w:r>
          </w:p>
        </w:tc>
      </w:tr>
      <w:tr w:rsidR="00916CFB" w14:paraId="5D15AA7E" w14:textId="77777777" w:rsidTr="003E1DCD">
        <w:trPr>
          <w:trHeight w:val="11029"/>
          <w:jc w:val="center"/>
        </w:trPr>
        <w:tc>
          <w:tcPr>
            <w:tcW w:w="1165" w:type="dxa"/>
            <w:tcBorders>
              <w:top w:val="single" w:sz="4" w:space="0" w:color="000000"/>
              <w:left w:val="single" w:sz="4" w:space="0" w:color="000000"/>
              <w:right w:val="single" w:sz="4" w:space="0" w:color="000000"/>
            </w:tcBorders>
            <w:vAlign w:val="center"/>
          </w:tcPr>
          <w:p w14:paraId="2B550CC9" w14:textId="73191AE6" w:rsidR="00916CFB" w:rsidRDefault="00916CFB">
            <w:pPr>
              <w:pStyle w:val="Standardtext"/>
              <w:spacing w:before="0" w:after="0" w:line="240" w:lineRule="auto"/>
              <w:jc w:val="center"/>
              <w:rPr>
                <w:rFonts w:ascii="Arial" w:hAnsi="Arial" w:cs="Arial"/>
                <w:sz w:val="24"/>
                <w:szCs w:val="24"/>
                <w:lang w:val="es-SV"/>
              </w:rPr>
            </w:pPr>
          </w:p>
        </w:tc>
        <w:tc>
          <w:tcPr>
            <w:tcW w:w="3366" w:type="dxa"/>
            <w:tcBorders>
              <w:top w:val="single" w:sz="4" w:space="0" w:color="000000"/>
              <w:left w:val="single" w:sz="4" w:space="0" w:color="000000"/>
              <w:right w:val="single" w:sz="4" w:space="0" w:color="000000"/>
            </w:tcBorders>
          </w:tcPr>
          <w:p w14:paraId="78D84B90" w14:textId="1DA58CD9" w:rsidR="00916CFB" w:rsidRDefault="00916CFB">
            <w:pPr>
              <w:pStyle w:val="Standardtext"/>
              <w:spacing w:before="0" w:after="0" w:line="240" w:lineRule="auto"/>
              <w:jc w:val="both"/>
              <w:rPr>
                <w:rFonts w:ascii="Arial" w:hAnsi="Arial" w:cs="Arial"/>
                <w:sz w:val="24"/>
                <w:szCs w:val="24"/>
                <w:lang w:val="es-SV"/>
              </w:rPr>
            </w:pPr>
          </w:p>
        </w:tc>
        <w:tc>
          <w:tcPr>
            <w:tcW w:w="3544" w:type="dxa"/>
            <w:tcBorders>
              <w:top w:val="single" w:sz="4" w:space="0" w:color="000000"/>
              <w:left w:val="single" w:sz="4" w:space="0" w:color="000000"/>
              <w:right w:val="single" w:sz="4" w:space="0" w:color="000000"/>
            </w:tcBorders>
          </w:tcPr>
          <w:p w14:paraId="1CD7DDA2" w14:textId="04D294DD" w:rsidR="00916CFB" w:rsidRDefault="00916CFB">
            <w:pPr>
              <w:spacing w:line="276" w:lineRule="auto"/>
              <w:jc w:val="both"/>
              <w:rPr>
                <w:rFonts w:ascii="Arial" w:eastAsia="Calibri" w:hAnsi="Arial" w:cs="Arial"/>
                <w:szCs w:val="24"/>
                <w:lang w:val="es-SV" w:eastAsia="en-US"/>
              </w:rPr>
            </w:pPr>
          </w:p>
        </w:tc>
        <w:tc>
          <w:tcPr>
            <w:tcW w:w="1418" w:type="dxa"/>
            <w:tcBorders>
              <w:top w:val="single" w:sz="4" w:space="0" w:color="000000"/>
              <w:left w:val="single" w:sz="4" w:space="0" w:color="000000"/>
              <w:right w:val="single" w:sz="4" w:space="0" w:color="000000"/>
            </w:tcBorders>
            <w:vAlign w:val="center"/>
          </w:tcPr>
          <w:p w14:paraId="205E4F51" w14:textId="0B70E374" w:rsidR="00916CFB" w:rsidRDefault="00916CFB">
            <w:pPr>
              <w:spacing w:line="276" w:lineRule="auto"/>
              <w:jc w:val="center"/>
              <w:rPr>
                <w:rFonts w:ascii="Arial" w:hAnsi="Arial" w:cs="Arial"/>
                <w:lang w:val="es-SV"/>
              </w:rPr>
            </w:pPr>
          </w:p>
        </w:tc>
      </w:tr>
    </w:tbl>
    <w:p w14:paraId="3A2E3CA3" w14:textId="77777777" w:rsidR="009F0D96" w:rsidRDefault="009F0D96" w:rsidP="00AF0705">
      <w:pPr>
        <w:rPr>
          <w:rFonts w:ascii="Arial" w:hAnsi="Arial" w:cs="Arial"/>
          <w:b/>
          <w:bCs/>
          <w:sz w:val="22"/>
          <w:szCs w:val="22"/>
        </w:rPr>
      </w:pPr>
    </w:p>
    <w:p w14:paraId="13C59CE2" w14:textId="77777777" w:rsidR="009F0D96" w:rsidRDefault="009F0D96" w:rsidP="009D2482">
      <w:pPr>
        <w:jc w:val="right"/>
        <w:rPr>
          <w:rFonts w:ascii="Arial" w:hAnsi="Arial" w:cs="Arial"/>
          <w:b/>
          <w:bCs/>
          <w:sz w:val="22"/>
          <w:szCs w:val="22"/>
        </w:rPr>
      </w:pPr>
    </w:p>
    <w:p w14:paraId="252C7550" w14:textId="77777777" w:rsidR="0026354D" w:rsidRDefault="0026354D" w:rsidP="00F54493">
      <w:pPr>
        <w:spacing w:after="120" w:line="276" w:lineRule="auto"/>
        <w:jc w:val="both"/>
        <w:rPr>
          <w:rFonts w:cs="Arial"/>
          <w:sz w:val="22"/>
          <w:szCs w:val="22"/>
          <w:lang w:eastAsia="en-US"/>
        </w:rPr>
        <w:sectPr w:rsidR="0026354D" w:rsidSect="00EE4769">
          <w:headerReference w:type="default" r:id="rId20"/>
          <w:footerReference w:type="default" r:id="rId21"/>
          <w:headerReference w:type="first" r:id="rId22"/>
          <w:footerReference w:type="first" r:id="rId23"/>
          <w:pgSz w:w="12240" w:h="15840" w:code="1"/>
          <w:pgMar w:top="1418" w:right="1701" w:bottom="1418" w:left="1701" w:header="720" w:footer="124" w:gutter="0"/>
          <w:cols w:space="720"/>
          <w:titlePg/>
          <w:docGrid w:linePitch="360"/>
        </w:sectPr>
      </w:pPr>
    </w:p>
    <w:p w14:paraId="7815F293" w14:textId="5190B12B" w:rsidR="00134136" w:rsidRDefault="00336571" w:rsidP="00134136">
      <w:pPr>
        <w:spacing w:after="120" w:line="276" w:lineRule="auto"/>
        <w:jc w:val="both"/>
        <w:rPr>
          <w:rFonts w:ascii="Arial" w:hAnsi="Arial" w:cs="Arial"/>
          <w:b/>
          <w:bCs/>
          <w:szCs w:val="24"/>
          <w:lang w:val="es-MX"/>
        </w:rPr>
      </w:pPr>
      <w:r>
        <w:rPr>
          <w:noProof/>
        </w:rPr>
        <w:lastRenderedPageBreak/>
        <w:drawing>
          <wp:anchor distT="0" distB="0" distL="114300" distR="114300" simplePos="0" relativeHeight="251658246" behindDoc="1" locked="0" layoutInCell="1" allowOverlap="1" wp14:anchorId="36E9A02E" wp14:editId="313A6999">
            <wp:simplePos x="0" y="0"/>
            <wp:positionH relativeFrom="margin">
              <wp:align>left</wp:align>
            </wp:positionH>
            <wp:positionV relativeFrom="paragraph">
              <wp:posOffset>234950</wp:posOffset>
            </wp:positionV>
            <wp:extent cx="690880" cy="666115"/>
            <wp:effectExtent l="0" t="0" r="0" b="635"/>
            <wp:wrapTight wrapText="bothSides">
              <wp:wrapPolygon edited="0">
                <wp:start x="5956" y="0"/>
                <wp:lineTo x="2382" y="2471"/>
                <wp:lineTo x="0" y="6795"/>
                <wp:lineTo x="0" y="13590"/>
                <wp:lineTo x="2978" y="19767"/>
                <wp:lineTo x="7743" y="21003"/>
                <wp:lineTo x="13103" y="21003"/>
                <wp:lineTo x="17868" y="19767"/>
                <wp:lineTo x="20846" y="13590"/>
                <wp:lineTo x="20846" y="6177"/>
                <wp:lineTo x="17868" y="1853"/>
                <wp:lineTo x="14294" y="0"/>
                <wp:lineTo x="5956" y="0"/>
              </wp:wrapPolygon>
            </wp:wrapTight>
            <wp:docPr id="6"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 t="1" r="44603" b="1"/>
                    <a:stretch/>
                  </pic:blipFill>
                  <pic:spPr bwMode="auto">
                    <a:xfrm>
                      <a:off x="0" y="0"/>
                      <a:ext cx="690880"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204C67" w14:textId="77777777" w:rsidR="00134136" w:rsidRDefault="00134136" w:rsidP="00134136">
      <w:pPr>
        <w:spacing w:after="120" w:line="276" w:lineRule="auto"/>
        <w:jc w:val="both"/>
        <w:rPr>
          <w:rFonts w:ascii="Arial" w:hAnsi="Arial" w:cs="Arial"/>
          <w:b/>
          <w:bCs/>
          <w:szCs w:val="24"/>
          <w:lang w:val="es-MX"/>
        </w:rPr>
      </w:pPr>
    </w:p>
    <w:p w14:paraId="1B5FE914" w14:textId="77777777" w:rsidR="00134136" w:rsidRDefault="00134136" w:rsidP="00134136">
      <w:pPr>
        <w:spacing w:after="120" w:line="276" w:lineRule="auto"/>
        <w:jc w:val="both"/>
        <w:rPr>
          <w:rFonts w:ascii="Arial" w:hAnsi="Arial" w:cs="Arial"/>
          <w:b/>
          <w:bCs/>
          <w:szCs w:val="24"/>
          <w:lang w:val="es-MX"/>
        </w:rPr>
      </w:pPr>
      <w:bookmarkStart w:id="98" w:name="_Toc5699729"/>
      <w:bookmarkStart w:id="99" w:name="_Toc5891054"/>
      <w:bookmarkStart w:id="100" w:name="_Toc5892165"/>
    </w:p>
    <w:p w14:paraId="5E0D37A9" w14:textId="7BF6F207" w:rsidR="00897122" w:rsidRPr="001F205F" w:rsidRDefault="002A2893" w:rsidP="005C750F">
      <w:pPr>
        <w:spacing w:after="120" w:line="276" w:lineRule="auto"/>
        <w:jc w:val="right"/>
        <w:rPr>
          <w:rFonts w:ascii="Arial" w:hAnsi="Arial" w:cs="Arial"/>
          <w:b/>
          <w:lang w:val="es-MX"/>
        </w:rPr>
      </w:pPr>
      <w:r w:rsidRPr="3F9D8079">
        <w:rPr>
          <w:rFonts w:ascii="Arial" w:hAnsi="Arial" w:cs="Arial"/>
          <w:b/>
          <w:bCs/>
          <w:szCs w:val="24"/>
          <w:lang w:val="es-MX"/>
        </w:rPr>
        <w:t>ANEXO</w:t>
      </w:r>
      <w:r w:rsidR="00675C82" w:rsidRPr="3F9D8079">
        <w:rPr>
          <w:rFonts w:ascii="Arial" w:hAnsi="Arial" w:cs="Arial"/>
          <w:b/>
          <w:bCs/>
          <w:szCs w:val="24"/>
          <w:lang w:val="es-MX"/>
        </w:rPr>
        <w:t xml:space="preserve"> No</w:t>
      </w:r>
      <w:r w:rsidR="00897122" w:rsidRPr="3F9D8079">
        <w:rPr>
          <w:rFonts w:ascii="Arial" w:hAnsi="Arial" w:cs="Arial"/>
          <w:b/>
          <w:bCs/>
          <w:szCs w:val="24"/>
          <w:lang w:val="es-MX"/>
        </w:rPr>
        <w:t xml:space="preserve">. </w:t>
      </w:r>
      <w:bookmarkEnd w:id="98"/>
      <w:bookmarkEnd w:id="99"/>
      <w:bookmarkEnd w:id="100"/>
      <w:r w:rsidR="00134136">
        <w:rPr>
          <w:rFonts w:ascii="Arial" w:hAnsi="Arial" w:cs="Arial"/>
          <w:b/>
          <w:bCs/>
          <w:szCs w:val="24"/>
          <w:lang w:val="es-MX"/>
        </w:rPr>
        <w:t>2</w:t>
      </w:r>
    </w:p>
    <w:p w14:paraId="3C1D2FA7" w14:textId="30013D4E" w:rsidR="00ED4A4A" w:rsidRPr="001F205F" w:rsidRDefault="00ED4A4A" w:rsidP="00ED4A4A">
      <w:pPr>
        <w:pStyle w:val="Standardtext"/>
        <w:jc w:val="right"/>
        <w:rPr>
          <w:rFonts w:ascii="Arial" w:hAnsi="Arial" w:cs="Arial"/>
          <w:b/>
          <w:sz w:val="24"/>
          <w:lang w:val="es-MX"/>
        </w:rPr>
      </w:pPr>
      <w:r w:rsidRPr="001F205F">
        <w:rPr>
          <w:noProof/>
          <w:szCs w:val="24"/>
          <w:lang w:val="es-SV" w:eastAsia="es-SV"/>
        </w:rPr>
        <mc:AlternateContent>
          <mc:Choice Requires="wps">
            <w:drawing>
              <wp:anchor distT="0" distB="0" distL="114300" distR="114300" simplePos="0" relativeHeight="251658242" behindDoc="0" locked="0" layoutInCell="1" allowOverlap="1" wp14:anchorId="623B8FF3" wp14:editId="324966FB">
                <wp:simplePos x="0" y="0"/>
                <wp:positionH relativeFrom="column">
                  <wp:posOffset>0</wp:posOffset>
                </wp:positionH>
                <wp:positionV relativeFrom="paragraph">
                  <wp:posOffset>18415</wp:posOffset>
                </wp:positionV>
                <wp:extent cx="8493207" cy="588397"/>
                <wp:effectExtent l="19050" t="19050" r="22225" b="2159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207" cy="588397"/>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7FDBFD" w14:textId="098CBAF0" w:rsidR="003E1DCD" w:rsidRPr="00D61EE0" w:rsidRDefault="003E1DCD" w:rsidP="00ED4A4A">
                            <w:pPr>
                              <w:spacing w:before="120" w:after="120"/>
                              <w:jc w:val="center"/>
                              <w:rPr>
                                <w:rFonts w:ascii="Arial" w:hAnsi="Arial" w:cs="Arial"/>
                                <w:b/>
                                <w:bCs/>
                                <w:sz w:val="20"/>
                              </w:rPr>
                            </w:pPr>
                            <w:r w:rsidRPr="00D61EE0">
                              <w:rPr>
                                <w:rFonts w:ascii="Arial" w:hAnsi="Arial" w:cs="Arial"/>
                                <w:b/>
                                <w:bCs/>
                                <w:sz w:val="20"/>
                              </w:rPr>
                              <w:t>INSCRIPCI</w:t>
                            </w:r>
                            <w:r>
                              <w:rPr>
                                <w:rFonts w:ascii="Arial" w:hAnsi="Arial" w:cs="Arial"/>
                                <w:b/>
                                <w:bCs/>
                                <w:sz w:val="20"/>
                              </w:rPr>
                              <w:t>Ó</w:t>
                            </w:r>
                            <w:r w:rsidRPr="00D61EE0">
                              <w:rPr>
                                <w:rFonts w:ascii="Arial" w:hAnsi="Arial" w:cs="Arial"/>
                                <w:b/>
                                <w:bCs/>
                                <w:sz w:val="20"/>
                              </w:rPr>
                              <w:t xml:space="preserve">N DE USUARIOS PARA OPERAR EN EL SISTEMA DE PAGOS MASIVOS </w:t>
                            </w:r>
                          </w:p>
                          <w:p w14:paraId="13273588" w14:textId="28963A29" w:rsidR="003E1DCD" w:rsidRPr="00D61EE0" w:rsidRDefault="003E1DCD" w:rsidP="00ED4A4A">
                            <w:pPr>
                              <w:spacing w:before="120" w:after="120"/>
                              <w:jc w:val="center"/>
                              <w:rPr>
                                <w:rFonts w:ascii="Arial" w:hAnsi="Arial" w:cs="Arial"/>
                                <w:b/>
                                <w:bCs/>
                                <w:sz w:val="20"/>
                              </w:rPr>
                            </w:pPr>
                            <w:r w:rsidRPr="00D61EE0">
                              <w:rPr>
                                <w:rFonts w:ascii="Arial" w:hAnsi="Arial" w:cs="Arial"/>
                                <w:b/>
                                <w:bCs/>
                                <w:sz w:val="20"/>
                              </w:rPr>
                              <w:t>(SPM</w:t>
                            </w:r>
                            <w:r>
                              <w:rPr>
                                <w:rFonts w:ascii="Arial" w:hAnsi="Arial" w:cs="Arial"/>
                                <w:b/>
                                <w:bCs/>
                                <w:sz w:val="20"/>
                              </w:rPr>
                              <w:t>-Tansfer365</w:t>
                            </w:r>
                            <w:r w:rsidRPr="00D61EE0">
                              <w:rPr>
                                <w:rFonts w:ascii="Arial" w:hAnsi="Arial"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B8FF3" id="_x0000_t202" coordsize="21600,21600" o:spt="202" path="m,l,21600r21600,l21600,xe">
                <v:stroke joinstyle="miter"/>
                <v:path gradientshapeok="t" o:connecttype="rect"/>
              </v:shapetype>
              <v:shape id="Cuadro de texto 34" o:spid="_x0000_s1028" type="#_x0000_t202" style="position:absolute;left:0;text-align:left;margin-left:0;margin-top:1.45pt;width:668.75pt;height:46.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" fillcolor="white [3201]" strokecolor="#4f81bd [3204]" strokeweight="2.5pt">
                <v:shadow color="#868686"/>
                <v:textbox>
                  <w:txbxContent>
                    <w:p w14:paraId="1B7FDBFD" w14:textId="098CBAF0" w:rsidR="003E1DCD" w:rsidRPr="00D61EE0" w:rsidRDefault="003E1DCD" w:rsidP="00ED4A4A">
                      <w:pPr>
                        <w:spacing w:before="120" w:after="120"/>
                        <w:jc w:val="center"/>
                        <w:rPr>
                          <w:rFonts w:ascii="Arial" w:hAnsi="Arial" w:cs="Arial"/>
                          <w:b/>
                          <w:bCs/>
                          <w:sz w:val="20"/>
                        </w:rPr>
                      </w:pPr>
                      <w:r w:rsidRPr="00D61EE0">
                        <w:rPr>
                          <w:rFonts w:ascii="Arial" w:hAnsi="Arial" w:cs="Arial"/>
                          <w:b/>
                          <w:bCs/>
                          <w:sz w:val="20"/>
                        </w:rPr>
                        <w:t>INSCRIPCI</w:t>
                      </w:r>
                      <w:r>
                        <w:rPr>
                          <w:rFonts w:ascii="Arial" w:hAnsi="Arial" w:cs="Arial"/>
                          <w:b/>
                          <w:bCs/>
                          <w:sz w:val="20"/>
                        </w:rPr>
                        <w:t>Ó</w:t>
                      </w:r>
                      <w:r w:rsidRPr="00D61EE0">
                        <w:rPr>
                          <w:rFonts w:ascii="Arial" w:hAnsi="Arial" w:cs="Arial"/>
                          <w:b/>
                          <w:bCs/>
                          <w:sz w:val="20"/>
                        </w:rPr>
                        <w:t xml:space="preserve">N DE USUARIOS PARA OPERAR EN EL SISTEMA DE PAGOS MASIVOS </w:t>
                      </w:r>
                    </w:p>
                    <w:p w14:paraId="13273588" w14:textId="28963A29" w:rsidR="003E1DCD" w:rsidRPr="00D61EE0" w:rsidRDefault="003E1DCD" w:rsidP="00ED4A4A">
                      <w:pPr>
                        <w:spacing w:before="120" w:after="120"/>
                        <w:jc w:val="center"/>
                        <w:rPr>
                          <w:rFonts w:ascii="Arial" w:hAnsi="Arial" w:cs="Arial"/>
                          <w:b/>
                          <w:bCs/>
                          <w:sz w:val="20"/>
                        </w:rPr>
                      </w:pPr>
                      <w:r w:rsidRPr="00D61EE0">
                        <w:rPr>
                          <w:rFonts w:ascii="Arial" w:hAnsi="Arial" w:cs="Arial"/>
                          <w:b/>
                          <w:bCs/>
                          <w:sz w:val="20"/>
                        </w:rPr>
                        <w:t>(SPM</w:t>
                      </w:r>
                      <w:r>
                        <w:rPr>
                          <w:rFonts w:ascii="Arial" w:hAnsi="Arial" w:cs="Arial"/>
                          <w:b/>
                          <w:bCs/>
                          <w:sz w:val="20"/>
                        </w:rPr>
                        <w:t>-Tansfer365</w:t>
                      </w:r>
                      <w:r w:rsidRPr="00D61EE0">
                        <w:rPr>
                          <w:rFonts w:ascii="Arial" w:hAnsi="Arial" w:cs="Arial"/>
                          <w:b/>
                          <w:bCs/>
                          <w:sz w:val="20"/>
                        </w:rPr>
                        <w:t>)</w:t>
                      </w:r>
                    </w:p>
                  </w:txbxContent>
                </v:textbox>
              </v:shape>
            </w:pict>
          </mc:Fallback>
        </mc:AlternateContent>
      </w:r>
    </w:p>
    <w:p w14:paraId="46B9EAAA" w14:textId="6EF472A3" w:rsidR="00897122" w:rsidRPr="001F205F" w:rsidRDefault="00897122" w:rsidP="00897122">
      <w:pPr>
        <w:pStyle w:val="Standardtext"/>
        <w:rPr>
          <w:rFonts w:ascii="Arial" w:hAnsi="Arial" w:cs="Arial"/>
          <w:b/>
          <w:lang w:val="es-MX"/>
        </w:rPr>
      </w:pPr>
    </w:p>
    <w:p w14:paraId="656C6328" w14:textId="7FEAD293" w:rsidR="00ED4A4A" w:rsidRPr="001F205F" w:rsidRDefault="00ED4A4A" w:rsidP="00ED4A4A">
      <w:pPr>
        <w:pStyle w:val="Standardtext"/>
        <w:spacing w:before="0" w:after="0" w:line="240" w:lineRule="auto"/>
        <w:jc w:val="right"/>
        <w:rPr>
          <w:rFonts w:ascii="Arial" w:hAnsi="Arial" w:cs="Arial"/>
          <w:b/>
          <w:sz w:val="20"/>
          <w:szCs w:val="20"/>
          <w:lang w:val="es-MX"/>
        </w:rPr>
      </w:pPr>
    </w:p>
    <w:p w14:paraId="0A24E8D9" w14:textId="77777777" w:rsidR="00897122" w:rsidRPr="00D61EE0" w:rsidRDefault="00897122" w:rsidP="00ED4A4A">
      <w:pPr>
        <w:pStyle w:val="Standardtext"/>
        <w:spacing w:before="0" w:after="0" w:line="240" w:lineRule="auto"/>
        <w:jc w:val="right"/>
        <w:rPr>
          <w:rFonts w:ascii="Arial" w:hAnsi="Arial" w:cs="Arial"/>
          <w:b/>
          <w:sz w:val="20"/>
          <w:szCs w:val="20"/>
          <w:lang w:val="es-MX"/>
        </w:rPr>
      </w:pPr>
      <w:r w:rsidRPr="00D61EE0">
        <w:rPr>
          <w:rFonts w:ascii="Arial" w:hAnsi="Arial" w:cs="Arial"/>
          <w:b/>
          <w:sz w:val="20"/>
          <w:szCs w:val="20"/>
          <w:lang w:val="es-MX"/>
        </w:rPr>
        <w:t>San Salvador, ____ de ______________de 20_____</w:t>
      </w:r>
    </w:p>
    <w:p w14:paraId="45059536" w14:textId="77777777" w:rsidR="00897122" w:rsidRPr="00D61EE0" w:rsidRDefault="00897122" w:rsidP="00104AA5">
      <w:pPr>
        <w:pStyle w:val="Standardtext"/>
        <w:spacing w:before="0" w:after="0" w:line="240" w:lineRule="auto"/>
        <w:rPr>
          <w:rFonts w:ascii="Arial" w:hAnsi="Arial" w:cs="Arial"/>
          <w:sz w:val="20"/>
          <w:szCs w:val="20"/>
          <w:lang w:val="es-MX"/>
        </w:rPr>
      </w:pPr>
    </w:p>
    <w:p w14:paraId="023A244B" w14:textId="71A12C66" w:rsidR="00897122" w:rsidRPr="00D61EE0" w:rsidRDefault="00897122" w:rsidP="00104AA5">
      <w:pPr>
        <w:pStyle w:val="Standardtext"/>
        <w:spacing w:before="0" w:after="0" w:line="240" w:lineRule="auto"/>
        <w:rPr>
          <w:rFonts w:ascii="Arial" w:hAnsi="Arial" w:cs="Arial"/>
          <w:b/>
          <w:sz w:val="20"/>
          <w:szCs w:val="20"/>
          <w:lang w:val="es-MX"/>
        </w:rPr>
      </w:pPr>
      <w:r w:rsidRPr="00D61EE0">
        <w:rPr>
          <w:rFonts w:ascii="Arial" w:hAnsi="Arial" w:cs="Arial"/>
          <w:b/>
          <w:sz w:val="20"/>
          <w:szCs w:val="20"/>
          <w:lang w:val="es-MX"/>
        </w:rPr>
        <w:t xml:space="preserve">Nombre de la Institución </w:t>
      </w:r>
      <w:r w:rsidR="00EB68BE">
        <w:rPr>
          <w:rFonts w:ascii="Arial" w:hAnsi="Arial" w:cs="Arial"/>
          <w:b/>
          <w:sz w:val="20"/>
          <w:szCs w:val="20"/>
          <w:lang w:val="es-MX"/>
        </w:rPr>
        <w:t>Participante</w:t>
      </w:r>
      <w:r w:rsidRPr="00D61EE0">
        <w:rPr>
          <w:rFonts w:ascii="Arial" w:hAnsi="Arial" w:cs="Arial"/>
          <w:b/>
          <w:sz w:val="20"/>
          <w:szCs w:val="20"/>
          <w:lang w:val="es-MX"/>
        </w:rPr>
        <w:t>: ___________________________________________</w:t>
      </w:r>
    </w:p>
    <w:p w14:paraId="0B8F0566" w14:textId="77777777" w:rsidR="00897122" w:rsidRPr="00D61EE0" w:rsidRDefault="00897122" w:rsidP="00104AA5">
      <w:pPr>
        <w:pStyle w:val="Standardtext"/>
        <w:spacing w:before="0" w:after="0" w:line="240" w:lineRule="auto"/>
        <w:rPr>
          <w:rFonts w:ascii="Arial" w:hAnsi="Arial" w:cs="Arial"/>
          <w:b/>
          <w:sz w:val="20"/>
          <w:szCs w:val="20"/>
          <w:lang w:val="es-MX"/>
        </w:rPr>
      </w:pPr>
      <w:r w:rsidRPr="00D61EE0">
        <w:rPr>
          <w:rFonts w:ascii="Arial" w:hAnsi="Arial" w:cs="Arial"/>
          <w:b/>
          <w:sz w:val="20"/>
          <w:szCs w:val="20"/>
          <w:lang w:val="es-MX"/>
        </w:rPr>
        <w:t>Dirección: ___________________________________________________________________</w:t>
      </w:r>
    </w:p>
    <w:p w14:paraId="08CEDDB9" w14:textId="77777777" w:rsidR="00897122" w:rsidRPr="00D61EE0" w:rsidRDefault="00897122" w:rsidP="00104AA5">
      <w:pPr>
        <w:pStyle w:val="Standardtext"/>
        <w:spacing w:before="0" w:after="0" w:line="240" w:lineRule="auto"/>
        <w:rPr>
          <w:rFonts w:ascii="Arial" w:hAnsi="Arial" w:cs="Arial"/>
          <w:b/>
          <w:sz w:val="20"/>
          <w:szCs w:val="20"/>
          <w:lang w:val="es-MX"/>
        </w:rPr>
      </w:pPr>
    </w:p>
    <w:p w14:paraId="031CA724" w14:textId="77777777" w:rsidR="00897122" w:rsidRPr="00D61EE0" w:rsidRDefault="00897122" w:rsidP="00104AA5">
      <w:pPr>
        <w:pStyle w:val="Standardtext"/>
        <w:spacing w:before="0" w:after="0" w:line="240" w:lineRule="auto"/>
        <w:rPr>
          <w:rFonts w:ascii="Arial" w:hAnsi="Arial" w:cs="Arial"/>
          <w:b/>
          <w:sz w:val="20"/>
          <w:szCs w:val="20"/>
          <w:lang w:val="es-MX"/>
        </w:rPr>
      </w:pPr>
    </w:p>
    <w:p w14:paraId="7D44C959" w14:textId="48A43C81" w:rsidR="00897122" w:rsidRPr="00D61EE0" w:rsidRDefault="00897122" w:rsidP="00ED4A4A">
      <w:pPr>
        <w:jc w:val="both"/>
        <w:rPr>
          <w:rFonts w:ascii="Arial" w:hAnsi="Arial" w:cs="Arial"/>
          <w:sz w:val="16"/>
          <w:szCs w:val="16"/>
          <w:lang w:val="es-ES"/>
        </w:rPr>
      </w:pPr>
      <w:r w:rsidRPr="00D61EE0">
        <w:rPr>
          <w:rFonts w:ascii="Arial" w:hAnsi="Arial" w:cs="Arial"/>
          <w:sz w:val="16"/>
          <w:szCs w:val="16"/>
          <w:lang w:val="es-ES"/>
        </w:rPr>
        <w:t xml:space="preserve">El personal de esta Institución autorizado </w:t>
      </w:r>
      <w:r w:rsidR="003D5B87">
        <w:rPr>
          <w:rFonts w:ascii="Arial" w:hAnsi="Arial" w:cs="Arial"/>
          <w:sz w:val="16"/>
          <w:szCs w:val="16"/>
          <w:lang w:val="es-ES"/>
        </w:rPr>
        <w:t>p</w:t>
      </w:r>
      <w:r w:rsidRPr="00D61EE0">
        <w:rPr>
          <w:rFonts w:ascii="Arial" w:hAnsi="Arial" w:cs="Arial"/>
          <w:sz w:val="16"/>
          <w:szCs w:val="16"/>
          <w:lang w:val="es-ES"/>
        </w:rPr>
        <w:t>a</w:t>
      </w:r>
      <w:r w:rsidR="003D5B87">
        <w:rPr>
          <w:rFonts w:ascii="Arial" w:hAnsi="Arial" w:cs="Arial"/>
          <w:sz w:val="16"/>
          <w:szCs w:val="16"/>
          <w:lang w:val="es-ES"/>
        </w:rPr>
        <w:t>ra</w:t>
      </w:r>
      <w:r w:rsidRPr="00D61EE0">
        <w:rPr>
          <w:rFonts w:ascii="Arial" w:hAnsi="Arial" w:cs="Arial"/>
          <w:sz w:val="16"/>
          <w:szCs w:val="16"/>
          <w:lang w:val="es-ES"/>
        </w:rPr>
        <w:t xml:space="preserve"> realizar operaciones en el SPM es el siguiente:</w:t>
      </w:r>
    </w:p>
    <w:p w14:paraId="52ED5A41" w14:textId="738C1B85" w:rsidR="00897122" w:rsidRPr="00D61EE0" w:rsidRDefault="00897122" w:rsidP="00104AA5">
      <w:pPr>
        <w:pStyle w:val="Standardtext"/>
        <w:spacing w:before="0" w:after="0" w:line="240" w:lineRule="auto"/>
        <w:rPr>
          <w:rFonts w:ascii="Arial" w:hAnsi="Arial" w:cs="Arial"/>
          <w:sz w:val="20"/>
          <w:szCs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132"/>
        <w:gridCol w:w="765"/>
        <w:gridCol w:w="1833"/>
        <w:gridCol w:w="1323"/>
        <w:gridCol w:w="897"/>
        <w:gridCol w:w="1512"/>
        <w:gridCol w:w="1660"/>
      </w:tblGrid>
      <w:tr w:rsidR="003D5B87" w:rsidRPr="00D61EE0" w14:paraId="6C2F8C6F" w14:textId="77777777" w:rsidTr="00C830B0">
        <w:trPr>
          <w:trHeight w:val="340"/>
          <w:jc w:val="center"/>
        </w:trPr>
        <w:tc>
          <w:tcPr>
            <w:tcW w:w="500" w:type="dxa"/>
            <w:shd w:val="clear" w:color="auto" w:fill="FFFFFF" w:themeFill="background1"/>
            <w:vAlign w:val="center"/>
          </w:tcPr>
          <w:p w14:paraId="76AC45B4" w14:textId="14CF4294"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N</w:t>
            </w:r>
            <w:r w:rsidR="00A8625D">
              <w:rPr>
                <w:rFonts w:ascii="Arial" w:hAnsi="Arial" w:cs="Arial"/>
                <w:b/>
                <w:sz w:val="16"/>
                <w:szCs w:val="18"/>
                <w:lang w:val="es-ES_tradnl"/>
              </w:rPr>
              <w:t>o.</w:t>
            </w:r>
          </w:p>
        </w:tc>
        <w:tc>
          <w:tcPr>
            <w:tcW w:w="2132" w:type="dxa"/>
            <w:shd w:val="clear" w:color="auto" w:fill="FFFFFF" w:themeFill="background1"/>
            <w:vAlign w:val="center"/>
          </w:tcPr>
          <w:p w14:paraId="49FAFF47"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Nombre completo</w:t>
            </w:r>
          </w:p>
        </w:tc>
        <w:tc>
          <w:tcPr>
            <w:tcW w:w="765" w:type="dxa"/>
            <w:shd w:val="clear" w:color="auto" w:fill="FFFFFF" w:themeFill="background1"/>
            <w:vAlign w:val="center"/>
          </w:tcPr>
          <w:p w14:paraId="3D202E6B"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Rol*</w:t>
            </w:r>
          </w:p>
        </w:tc>
        <w:tc>
          <w:tcPr>
            <w:tcW w:w="1833" w:type="dxa"/>
            <w:shd w:val="clear" w:color="auto" w:fill="FFFFFF" w:themeFill="background1"/>
            <w:vAlign w:val="center"/>
          </w:tcPr>
          <w:p w14:paraId="16A1A0BB"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Depto.</w:t>
            </w:r>
          </w:p>
        </w:tc>
        <w:tc>
          <w:tcPr>
            <w:tcW w:w="1323" w:type="dxa"/>
            <w:shd w:val="clear" w:color="auto" w:fill="FFFFFF" w:themeFill="background1"/>
            <w:vAlign w:val="center"/>
          </w:tcPr>
          <w:p w14:paraId="519FE1F3"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Cargo</w:t>
            </w:r>
          </w:p>
        </w:tc>
        <w:tc>
          <w:tcPr>
            <w:tcW w:w="897" w:type="dxa"/>
            <w:shd w:val="clear" w:color="auto" w:fill="FFFFFF" w:themeFill="background1"/>
            <w:vAlign w:val="center"/>
          </w:tcPr>
          <w:p w14:paraId="4D8AECDA"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Teléfono</w:t>
            </w:r>
          </w:p>
        </w:tc>
        <w:tc>
          <w:tcPr>
            <w:tcW w:w="1512" w:type="dxa"/>
            <w:shd w:val="clear" w:color="auto" w:fill="FFFFFF" w:themeFill="background1"/>
            <w:vAlign w:val="center"/>
          </w:tcPr>
          <w:p w14:paraId="65AD39D7"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Correo Electrónico</w:t>
            </w:r>
          </w:p>
        </w:tc>
        <w:tc>
          <w:tcPr>
            <w:tcW w:w="1660" w:type="dxa"/>
            <w:shd w:val="clear" w:color="auto" w:fill="FFFFFF" w:themeFill="background1"/>
            <w:vAlign w:val="center"/>
          </w:tcPr>
          <w:p w14:paraId="4190D45B" w14:textId="77777777" w:rsidR="003D5B87" w:rsidRPr="00D61EE0" w:rsidRDefault="003D5B87" w:rsidP="00CD35DC">
            <w:pPr>
              <w:pStyle w:val="Standardtext"/>
              <w:spacing w:before="0" w:after="0" w:line="240" w:lineRule="auto"/>
              <w:jc w:val="center"/>
              <w:rPr>
                <w:rFonts w:ascii="Arial" w:hAnsi="Arial" w:cs="Arial"/>
                <w:b/>
                <w:sz w:val="16"/>
                <w:szCs w:val="18"/>
                <w:lang w:val="es-ES_tradnl"/>
              </w:rPr>
            </w:pPr>
            <w:r w:rsidRPr="00D61EE0">
              <w:rPr>
                <w:rFonts w:ascii="Arial" w:hAnsi="Arial" w:cs="Arial"/>
                <w:b/>
                <w:sz w:val="16"/>
                <w:szCs w:val="18"/>
                <w:lang w:val="es-ES_tradnl"/>
              </w:rPr>
              <w:t>Acción Solicitada</w:t>
            </w:r>
          </w:p>
        </w:tc>
      </w:tr>
      <w:tr w:rsidR="003D5B87" w:rsidRPr="00D61EE0" w14:paraId="25FCB30B" w14:textId="77777777" w:rsidTr="00C830B0">
        <w:trPr>
          <w:trHeight w:val="340"/>
          <w:jc w:val="center"/>
        </w:trPr>
        <w:tc>
          <w:tcPr>
            <w:tcW w:w="500" w:type="dxa"/>
            <w:shd w:val="clear" w:color="auto" w:fill="auto"/>
          </w:tcPr>
          <w:p w14:paraId="772B754F" w14:textId="77777777" w:rsidR="003D5B87" w:rsidRPr="00D61EE0" w:rsidRDefault="003D5B87" w:rsidP="00CB7787">
            <w:pPr>
              <w:pStyle w:val="Standardtext"/>
              <w:spacing w:before="0" w:after="0" w:line="240" w:lineRule="auto"/>
              <w:jc w:val="center"/>
              <w:rPr>
                <w:rFonts w:ascii="Arial" w:hAnsi="Arial" w:cs="Arial"/>
                <w:sz w:val="20"/>
                <w:szCs w:val="20"/>
              </w:rPr>
            </w:pPr>
            <w:r w:rsidRPr="00D61EE0">
              <w:rPr>
                <w:rFonts w:ascii="Arial" w:hAnsi="Arial" w:cs="Arial"/>
                <w:sz w:val="20"/>
                <w:szCs w:val="20"/>
              </w:rPr>
              <w:t>1</w:t>
            </w:r>
          </w:p>
        </w:tc>
        <w:tc>
          <w:tcPr>
            <w:tcW w:w="2132" w:type="dxa"/>
            <w:shd w:val="clear" w:color="auto" w:fill="auto"/>
          </w:tcPr>
          <w:p w14:paraId="5940429F" w14:textId="77777777" w:rsidR="003D5B87" w:rsidRPr="00D61EE0" w:rsidRDefault="003D5B87" w:rsidP="00CD35DC">
            <w:pPr>
              <w:pStyle w:val="Standardtext"/>
              <w:spacing w:before="0" w:after="0" w:line="240" w:lineRule="auto"/>
              <w:rPr>
                <w:rFonts w:ascii="Arial" w:hAnsi="Arial" w:cs="Arial"/>
                <w:sz w:val="20"/>
                <w:szCs w:val="20"/>
              </w:rPr>
            </w:pPr>
          </w:p>
        </w:tc>
        <w:tc>
          <w:tcPr>
            <w:tcW w:w="765" w:type="dxa"/>
            <w:shd w:val="clear" w:color="auto" w:fill="auto"/>
          </w:tcPr>
          <w:p w14:paraId="1148AF65" w14:textId="77777777" w:rsidR="003D5B87" w:rsidRPr="00D61EE0" w:rsidRDefault="003D5B87" w:rsidP="00CD35DC">
            <w:pPr>
              <w:pStyle w:val="Standardtext"/>
              <w:spacing w:before="0" w:after="0" w:line="240" w:lineRule="auto"/>
              <w:rPr>
                <w:rFonts w:ascii="Arial" w:hAnsi="Arial" w:cs="Arial"/>
                <w:sz w:val="20"/>
                <w:szCs w:val="20"/>
              </w:rPr>
            </w:pPr>
          </w:p>
        </w:tc>
        <w:tc>
          <w:tcPr>
            <w:tcW w:w="1833" w:type="dxa"/>
            <w:shd w:val="clear" w:color="auto" w:fill="auto"/>
          </w:tcPr>
          <w:p w14:paraId="2C7D832B" w14:textId="77777777" w:rsidR="003D5B87" w:rsidRPr="00D61EE0" w:rsidRDefault="003D5B87" w:rsidP="00CD35DC">
            <w:pPr>
              <w:pStyle w:val="Standardtext"/>
              <w:spacing w:before="0" w:after="0" w:line="240" w:lineRule="auto"/>
              <w:rPr>
                <w:rFonts w:ascii="Arial" w:hAnsi="Arial" w:cs="Arial"/>
                <w:sz w:val="20"/>
                <w:szCs w:val="20"/>
              </w:rPr>
            </w:pPr>
          </w:p>
        </w:tc>
        <w:tc>
          <w:tcPr>
            <w:tcW w:w="1323" w:type="dxa"/>
            <w:shd w:val="clear" w:color="auto" w:fill="auto"/>
          </w:tcPr>
          <w:p w14:paraId="661DDB6A" w14:textId="77777777" w:rsidR="003D5B87" w:rsidRPr="00D61EE0" w:rsidRDefault="003D5B87" w:rsidP="00CD35DC">
            <w:pPr>
              <w:pStyle w:val="Standardtext"/>
              <w:spacing w:before="0" w:after="0" w:line="240" w:lineRule="auto"/>
              <w:rPr>
                <w:rFonts w:ascii="Arial" w:hAnsi="Arial" w:cs="Arial"/>
                <w:sz w:val="20"/>
                <w:szCs w:val="20"/>
              </w:rPr>
            </w:pPr>
          </w:p>
        </w:tc>
        <w:tc>
          <w:tcPr>
            <w:tcW w:w="897" w:type="dxa"/>
          </w:tcPr>
          <w:p w14:paraId="59AB97CC" w14:textId="77777777" w:rsidR="003D5B87" w:rsidRPr="00D61EE0" w:rsidRDefault="003D5B87" w:rsidP="00CD35DC">
            <w:pPr>
              <w:pStyle w:val="Standardtext"/>
              <w:spacing w:before="0" w:after="0" w:line="240" w:lineRule="auto"/>
              <w:rPr>
                <w:rFonts w:ascii="Arial" w:hAnsi="Arial" w:cs="Arial"/>
                <w:sz w:val="20"/>
                <w:szCs w:val="20"/>
              </w:rPr>
            </w:pPr>
          </w:p>
        </w:tc>
        <w:tc>
          <w:tcPr>
            <w:tcW w:w="1512" w:type="dxa"/>
            <w:shd w:val="clear" w:color="auto" w:fill="auto"/>
          </w:tcPr>
          <w:p w14:paraId="26EB64D9" w14:textId="77777777" w:rsidR="003D5B87" w:rsidRPr="00D61EE0" w:rsidRDefault="003D5B87" w:rsidP="00CD35DC">
            <w:pPr>
              <w:pStyle w:val="Standardtext"/>
              <w:spacing w:before="0" w:after="0" w:line="240" w:lineRule="auto"/>
              <w:rPr>
                <w:rFonts w:ascii="Arial" w:hAnsi="Arial" w:cs="Arial"/>
                <w:sz w:val="20"/>
                <w:szCs w:val="20"/>
              </w:rPr>
            </w:pPr>
          </w:p>
        </w:tc>
        <w:tc>
          <w:tcPr>
            <w:tcW w:w="1660" w:type="dxa"/>
            <w:shd w:val="clear" w:color="auto" w:fill="auto"/>
          </w:tcPr>
          <w:p w14:paraId="2F889659" w14:textId="77777777" w:rsidR="003D5B87" w:rsidRPr="00D61EE0" w:rsidRDefault="003D5B87" w:rsidP="00CD35DC">
            <w:pPr>
              <w:pStyle w:val="Standardtext"/>
              <w:spacing w:before="0" w:after="0" w:line="240" w:lineRule="auto"/>
              <w:rPr>
                <w:rFonts w:ascii="Arial" w:hAnsi="Arial" w:cs="Arial"/>
                <w:sz w:val="20"/>
                <w:szCs w:val="20"/>
              </w:rPr>
            </w:pPr>
          </w:p>
        </w:tc>
      </w:tr>
      <w:tr w:rsidR="003D5B87" w:rsidRPr="00D61EE0" w14:paraId="7FF1C36E" w14:textId="77777777" w:rsidTr="00C830B0">
        <w:trPr>
          <w:trHeight w:val="340"/>
          <w:jc w:val="center"/>
        </w:trPr>
        <w:tc>
          <w:tcPr>
            <w:tcW w:w="500" w:type="dxa"/>
            <w:shd w:val="clear" w:color="auto" w:fill="auto"/>
          </w:tcPr>
          <w:p w14:paraId="6A6D773F" w14:textId="77777777" w:rsidR="003D5B87" w:rsidRPr="00D61EE0" w:rsidRDefault="003D5B87" w:rsidP="00CB7787">
            <w:pPr>
              <w:pStyle w:val="Standardtext"/>
              <w:spacing w:before="0" w:after="0" w:line="240" w:lineRule="auto"/>
              <w:jc w:val="center"/>
              <w:rPr>
                <w:rFonts w:ascii="Arial" w:hAnsi="Arial" w:cs="Arial"/>
                <w:sz w:val="20"/>
                <w:szCs w:val="20"/>
              </w:rPr>
            </w:pPr>
            <w:r w:rsidRPr="00D61EE0">
              <w:rPr>
                <w:rFonts w:ascii="Arial" w:hAnsi="Arial" w:cs="Arial"/>
                <w:sz w:val="20"/>
                <w:szCs w:val="20"/>
              </w:rPr>
              <w:t>2</w:t>
            </w:r>
          </w:p>
        </w:tc>
        <w:tc>
          <w:tcPr>
            <w:tcW w:w="2132" w:type="dxa"/>
            <w:shd w:val="clear" w:color="auto" w:fill="auto"/>
          </w:tcPr>
          <w:p w14:paraId="0484AC51" w14:textId="77777777" w:rsidR="003D5B87" w:rsidRPr="00D61EE0" w:rsidRDefault="003D5B87" w:rsidP="00CD35DC">
            <w:pPr>
              <w:pStyle w:val="Standardtext"/>
              <w:spacing w:before="0" w:after="0" w:line="240" w:lineRule="auto"/>
              <w:rPr>
                <w:rFonts w:ascii="Arial" w:hAnsi="Arial" w:cs="Arial"/>
                <w:sz w:val="20"/>
                <w:szCs w:val="20"/>
              </w:rPr>
            </w:pPr>
          </w:p>
        </w:tc>
        <w:tc>
          <w:tcPr>
            <w:tcW w:w="765" w:type="dxa"/>
            <w:shd w:val="clear" w:color="auto" w:fill="auto"/>
          </w:tcPr>
          <w:p w14:paraId="70D35FA3" w14:textId="77777777" w:rsidR="003D5B87" w:rsidRPr="00D61EE0" w:rsidRDefault="003D5B87" w:rsidP="00CD35DC">
            <w:pPr>
              <w:pStyle w:val="Standardtext"/>
              <w:spacing w:before="0" w:after="0" w:line="240" w:lineRule="auto"/>
              <w:rPr>
                <w:rFonts w:ascii="Arial" w:hAnsi="Arial" w:cs="Arial"/>
                <w:sz w:val="20"/>
                <w:szCs w:val="20"/>
              </w:rPr>
            </w:pPr>
          </w:p>
        </w:tc>
        <w:tc>
          <w:tcPr>
            <w:tcW w:w="1833" w:type="dxa"/>
            <w:shd w:val="clear" w:color="auto" w:fill="auto"/>
          </w:tcPr>
          <w:p w14:paraId="7808E39A" w14:textId="77777777" w:rsidR="003D5B87" w:rsidRPr="00D61EE0" w:rsidRDefault="003D5B87" w:rsidP="00CD35DC">
            <w:pPr>
              <w:pStyle w:val="Standardtext"/>
              <w:spacing w:before="0" w:after="0" w:line="240" w:lineRule="auto"/>
              <w:rPr>
                <w:rFonts w:ascii="Arial" w:hAnsi="Arial" w:cs="Arial"/>
                <w:sz w:val="20"/>
                <w:szCs w:val="20"/>
              </w:rPr>
            </w:pPr>
          </w:p>
        </w:tc>
        <w:tc>
          <w:tcPr>
            <w:tcW w:w="1323" w:type="dxa"/>
            <w:shd w:val="clear" w:color="auto" w:fill="auto"/>
          </w:tcPr>
          <w:p w14:paraId="081080A9" w14:textId="77777777" w:rsidR="003D5B87" w:rsidRPr="00D61EE0" w:rsidRDefault="003D5B87" w:rsidP="00CD35DC">
            <w:pPr>
              <w:pStyle w:val="Standardtext"/>
              <w:spacing w:before="0" w:after="0" w:line="240" w:lineRule="auto"/>
              <w:rPr>
                <w:rFonts w:ascii="Arial" w:hAnsi="Arial" w:cs="Arial"/>
                <w:sz w:val="20"/>
                <w:szCs w:val="20"/>
              </w:rPr>
            </w:pPr>
          </w:p>
        </w:tc>
        <w:tc>
          <w:tcPr>
            <w:tcW w:w="897" w:type="dxa"/>
          </w:tcPr>
          <w:p w14:paraId="2267D2E4" w14:textId="77777777" w:rsidR="003D5B87" w:rsidRPr="00D61EE0" w:rsidRDefault="003D5B87" w:rsidP="00CD35DC">
            <w:pPr>
              <w:pStyle w:val="Standardtext"/>
              <w:spacing w:before="0" w:after="0" w:line="240" w:lineRule="auto"/>
              <w:rPr>
                <w:rFonts w:ascii="Arial" w:hAnsi="Arial" w:cs="Arial"/>
                <w:sz w:val="20"/>
                <w:szCs w:val="20"/>
              </w:rPr>
            </w:pPr>
          </w:p>
        </w:tc>
        <w:tc>
          <w:tcPr>
            <w:tcW w:w="1512" w:type="dxa"/>
            <w:shd w:val="clear" w:color="auto" w:fill="auto"/>
          </w:tcPr>
          <w:p w14:paraId="04123100" w14:textId="77777777" w:rsidR="003D5B87" w:rsidRPr="00D61EE0" w:rsidRDefault="003D5B87" w:rsidP="00CD35DC">
            <w:pPr>
              <w:pStyle w:val="Standardtext"/>
              <w:spacing w:before="0" w:after="0" w:line="240" w:lineRule="auto"/>
              <w:rPr>
                <w:rFonts w:ascii="Arial" w:hAnsi="Arial" w:cs="Arial"/>
                <w:sz w:val="20"/>
                <w:szCs w:val="20"/>
              </w:rPr>
            </w:pPr>
          </w:p>
        </w:tc>
        <w:tc>
          <w:tcPr>
            <w:tcW w:w="1660" w:type="dxa"/>
            <w:shd w:val="clear" w:color="auto" w:fill="auto"/>
          </w:tcPr>
          <w:p w14:paraId="48EE7B01" w14:textId="77777777" w:rsidR="003D5B87" w:rsidRPr="00D61EE0" w:rsidRDefault="003D5B87" w:rsidP="00CD35DC">
            <w:pPr>
              <w:pStyle w:val="Standardtext"/>
              <w:spacing w:before="0" w:after="0" w:line="240" w:lineRule="auto"/>
              <w:rPr>
                <w:rFonts w:ascii="Arial" w:hAnsi="Arial" w:cs="Arial"/>
                <w:sz w:val="20"/>
                <w:szCs w:val="20"/>
              </w:rPr>
            </w:pPr>
          </w:p>
        </w:tc>
      </w:tr>
      <w:tr w:rsidR="003D5B87" w:rsidRPr="00D61EE0" w14:paraId="26F69590" w14:textId="77777777" w:rsidTr="00C830B0">
        <w:trPr>
          <w:trHeight w:val="340"/>
          <w:jc w:val="center"/>
        </w:trPr>
        <w:tc>
          <w:tcPr>
            <w:tcW w:w="500" w:type="dxa"/>
            <w:shd w:val="clear" w:color="auto" w:fill="auto"/>
          </w:tcPr>
          <w:p w14:paraId="78E34CA4" w14:textId="77777777" w:rsidR="003D5B87" w:rsidRPr="00D61EE0" w:rsidRDefault="003D5B87" w:rsidP="00CB7787">
            <w:pPr>
              <w:pStyle w:val="Standardtext"/>
              <w:spacing w:before="0" w:after="0" w:line="240" w:lineRule="auto"/>
              <w:jc w:val="center"/>
              <w:rPr>
                <w:rFonts w:ascii="Arial" w:hAnsi="Arial" w:cs="Arial"/>
                <w:sz w:val="20"/>
                <w:szCs w:val="20"/>
              </w:rPr>
            </w:pPr>
            <w:r w:rsidRPr="00D61EE0">
              <w:rPr>
                <w:rFonts w:ascii="Arial" w:hAnsi="Arial" w:cs="Arial"/>
                <w:sz w:val="20"/>
                <w:szCs w:val="20"/>
              </w:rPr>
              <w:t>3</w:t>
            </w:r>
          </w:p>
        </w:tc>
        <w:tc>
          <w:tcPr>
            <w:tcW w:w="2132" w:type="dxa"/>
            <w:shd w:val="clear" w:color="auto" w:fill="auto"/>
          </w:tcPr>
          <w:p w14:paraId="43002F2E" w14:textId="77777777" w:rsidR="003D5B87" w:rsidRPr="00D61EE0" w:rsidRDefault="003D5B87" w:rsidP="00CD35DC">
            <w:pPr>
              <w:pStyle w:val="Standardtext"/>
              <w:spacing w:before="0" w:after="0" w:line="240" w:lineRule="auto"/>
              <w:rPr>
                <w:rFonts w:ascii="Arial" w:hAnsi="Arial" w:cs="Arial"/>
                <w:sz w:val="20"/>
                <w:szCs w:val="20"/>
              </w:rPr>
            </w:pPr>
          </w:p>
        </w:tc>
        <w:tc>
          <w:tcPr>
            <w:tcW w:w="765" w:type="dxa"/>
            <w:shd w:val="clear" w:color="auto" w:fill="auto"/>
          </w:tcPr>
          <w:p w14:paraId="791EDE6F" w14:textId="77777777" w:rsidR="003D5B87" w:rsidRPr="00D61EE0" w:rsidRDefault="003D5B87" w:rsidP="00CD35DC">
            <w:pPr>
              <w:pStyle w:val="Standardtext"/>
              <w:spacing w:before="0" w:after="0" w:line="240" w:lineRule="auto"/>
              <w:rPr>
                <w:rFonts w:ascii="Arial" w:hAnsi="Arial" w:cs="Arial"/>
                <w:sz w:val="20"/>
                <w:szCs w:val="20"/>
              </w:rPr>
            </w:pPr>
          </w:p>
        </w:tc>
        <w:tc>
          <w:tcPr>
            <w:tcW w:w="1833" w:type="dxa"/>
            <w:shd w:val="clear" w:color="auto" w:fill="auto"/>
          </w:tcPr>
          <w:p w14:paraId="304849A7" w14:textId="77777777" w:rsidR="003D5B87" w:rsidRPr="00D61EE0" w:rsidRDefault="003D5B87" w:rsidP="00CD35DC">
            <w:pPr>
              <w:pStyle w:val="Standardtext"/>
              <w:spacing w:before="0" w:after="0" w:line="240" w:lineRule="auto"/>
              <w:rPr>
                <w:rFonts w:ascii="Arial" w:hAnsi="Arial" w:cs="Arial"/>
                <w:sz w:val="20"/>
                <w:szCs w:val="20"/>
              </w:rPr>
            </w:pPr>
          </w:p>
        </w:tc>
        <w:tc>
          <w:tcPr>
            <w:tcW w:w="1323" w:type="dxa"/>
            <w:shd w:val="clear" w:color="auto" w:fill="auto"/>
          </w:tcPr>
          <w:p w14:paraId="603E52EC" w14:textId="77777777" w:rsidR="003D5B87" w:rsidRPr="00D61EE0" w:rsidRDefault="003D5B87" w:rsidP="00CD35DC">
            <w:pPr>
              <w:pStyle w:val="Standardtext"/>
              <w:spacing w:before="0" w:after="0" w:line="240" w:lineRule="auto"/>
              <w:rPr>
                <w:rFonts w:ascii="Arial" w:hAnsi="Arial" w:cs="Arial"/>
                <w:sz w:val="20"/>
                <w:szCs w:val="20"/>
              </w:rPr>
            </w:pPr>
          </w:p>
        </w:tc>
        <w:tc>
          <w:tcPr>
            <w:tcW w:w="897" w:type="dxa"/>
          </w:tcPr>
          <w:p w14:paraId="698AA50F" w14:textId="77777777" w:rsidR="003D5B87" w:rsidRPr="00D61EE0" w:rsidRDefault="003D5B87" w:rsidP="00CD35DC">
            <w:pPr>
              <w:pStyle w:val="Standardtext"/>
              <w:spacing w:before="0" w:after="0" w:line="240" w:lineRule="auto"/>
              <w:rPr>
                <w:rFonts w:ascii="Arial" w:hAnsi="Arial" w:cs="Arial"/>
                <w:sz w:val="20"/>
                <w:szCs w:val="20"/>
              </w:rPr>
            </w:pPr>
          </w:p>
        </w:tc>
        <w:tc>
          <w:tcPr>
            <w:tcW w:w="1512" w:type="dxa"/>
            <w:shd w:val="clear" w:color="auto" w:fill="auto"/>
          </w:tcPr>
          <w:p w14:paraId="06EB14DB" w14:textId="77777777" w:rsidR="003D5B87" w:rsidRPr="00D61EE0" w:rsidRDefault="003D5B87" w:rsidP="00CD35DC">
            <w:pPr>
              <w:pStyle w:val="Standardtext"/>
              <w:spacing w:before="0" w:after="0" w:line="240" w:lineRule="auto"/>
              <w:rPr>
                <w:rFonts w:ascii="Arial" w:hAnsi="Arial" w:cs="Arial"/>
                <w:sz w:val="20"/>
                <w:szCs w:val="20"/>
              </w:rPr>
            </w:pPr>
          </w:p>
        </w:tc>
        <w:tc>
          <w:tcPr>
            <w:tcW w:w="1660" w:type="dxa"/>
            <w:shd w:val="clear" w:color="auto" w:fill="auto"/>
          </w:tcPr>
          <w:p w14:paraId="038BD853" w14:textId="77777777" w:rsidR="003D5B87" w:rsidRPr="00D61EE0" w:rsidRDefault="003D5B87" w:rsidP="00CD35DC">
            <w:pPr>
              <w:pStyle w:val="Standardtext"/>
              <w:spacing w:before="0" w:after="0" w:line="240" w:lineRule="auto"/>
              <w:rPr>
                <w:rFonts w:ascii="Arial" w:hAnsi="Arial" w:cs="Arial"/>
                <w:sz w:val="20"/>
                <w:szCs w:val="20"/>
              </w:rPr>
            </w:pPr>
          </w:p>
        </w:tc>
      </w:tr>
      <w:tr w:rsidR="003D5B87" w:rsidRPr="00D61EE0" w14:paraId="0B7F809E" w14:textId="77777777" w:rsidTr="00C830B0">
        <w:trPr>
          <w:trHeight w:val="340"/>
          <w:jc w:val="center"/>
        </w:trPr>
        <w:tc>
          <w:tcPr>
            <w:tcW w:w="500" w:type="dxa"/>
            <w:shd w:val="clear" w:color="auto" w:fill="auto"/>
          </w:tcPr>
          <w:p w14:paraId="5CD46BA2" w14:textId="77777777" w:rsidR="003D5B87" w:rsidRPr="00D61EE0" w:rsidRDefault="003D5B87" w:rsidP="00CB7787">
            <w:pPr>
              <w:pStyle w:val="Standardtext"/>
              <w:spacing w:before="0" w:after="0" w:line="240" w:lineRule="auto"/>
              <w:jc w:val="center"/>
              <w:rPr>
                <w:rFonts w:ascii="Arial" w:hAnsi="Arial" w:cs="Arial"/>
                <w:sz w:val="20"/>
                <w:szCs w:val="20"/>
              </w:rPr>
            </w:pPr>
            <w:r w:rsidRPr="00D61EE0">
              <w:rPr>
                <w:rFonts w:ascii="Arial" w:hAnsi="Arial" w:cs="Arial"/>
                <w:sz w:val="20"/>
                <w:szCs w:val="20"/>
              </w:rPr>
              <w:t>4</w:t>
            </w:r>
          </w:p>
        </w:tc>
        <w:tc>
          <w:tcPr>
            <w:tcW w:w="2132" w:type="dxa"/>
            <w:shd w:val="clear" w:color="auto" w:fill="auto"/>
          </w:tcPr>
          <w:p w14:paraId="5C321A24" w14:textId="77777777" w:rsidR="003D5B87" w:rsidRPr="00D61EE0" w:rsidRDefault="003D5B87" w:rsidP="00CD35DC">
            <w:pPr>
              <w:pStyle w:val="Standardtext"/>
              <w:spacing w:before="0" w:after="0" w:line="240" w:lineRule="auto"/>
              <w:rPr>
                <w:rFonts w:ascii="Arial" w:hAnsi="Arial" w:cs="Arial"/>
                <w:sz w:val="20"/>
                <w:szCs w:val="20"/>
              </w:rPr>
            </w:pPr>
          </w:p>
        </w:tc>
        <w:tc>
          <w:tcPr>
            <w:tcW w:w="765" w:type="dxa"/>
            <w:shd w:val="clear" w:color="auto" w:fill="auto"/>
          </w:tcPr>
          <w:p w14:paraId="0921AD53" w14:textId="77777777" w:rsidR="003D5B87" w:rsidRPr="00D61EE0" w:rsidRDefault="003D5B87" w:rsidP="00CD35DC">
            <w:pPr>
              <w:pStyle w:val="Standardtext"/>
              <w:spacing w:before="0" w:after="0" w:line="240" w:lineRule="auto"/>
              <w:rPr>
                <w:rFonts w:ascii="Arial" w:hAnsi="Arial" w:cs="Arial"/>
                <w:sz w:val="20"/>
                <w:szCs w:val="20"/>
              </w:rPr>
            </w:pPr>
          </w:p>
        </w:tc>
        <w:tc>
          <w:tcPr>
            <w:tcW w:w="1833" w:type="dxa"/>
            <w:shd w:val="clear" w:color="auto" w:fill="auto"/>
          </w:tcPr>
          <w:p w14:paraId="6C02FF40" w14:textId="77777777" w:rsidR="003D5B87" w:rsidRPr="00D61EE0" w:rsidRDefault="003D5B87" w:rsidP="00CD35DC">
            <w:pPr>
              <w:pStyle w:val="Standardtext"/>
              <w:spacing w:before="0" w:after="0" w:line="240" w:lineRule="auto"/>
              <w:rPr>
                <w:rFonts w:ascii="Arial" w:hAnsi="Arial" w:cs="Arial"/>
                <w:sz w:val="20"/>
                <w:szCs w:val="20"/>
              </w:rPr>
            </w:pPr>
          </w:p>
        </w:tc>
        <w:tc>
          <w:tcPr>
            <w:tcW w:w="1323" w:type="dxa"/>
            <w:shd w:val="clear" w:color="auto" w:fill="auto"/>
          </w:tcPr>
          <w:p w14:paraId="4A0719A2" w14:textId="77777777" w:rsidR="003D5B87" w:rsidRPr="00D61EE0" w:rsidRDefault="003D5B87" w:rsidP="00CD35DC">
            <w:pPr>
              <w:pStyle w:val="Standardtext"/>
              <w:spacing w:before="0" w:after="0" w:line="240" w:lineRule="auto"/>
              <w:rPr>
                <w:rFonts w:ascii="Arial" w:hAnsi="Arial" w:cs="Arial"/>
                <w:sz w:val="20"/>
                <w:szCs w:val="20"/>
              </w:rPr>
            </w:pPr>
          </w:p>
        </w:tc>
        <w:tc>
          <w:tcPr>
            <w:tcW w:w="897" w:type="dxa"/>
          </w:tcPr>
          <w:p w14:paraId="7FBEC9B5" w14:textId="77777777" w:rsidR="003D5B87" w:rsidRPr="00D61EE0" w:rsidRDefault="003D5B87" w:rsidP="00CD35DC">
            <w:pPr>
              <w:pStyle w:val="Standardtext"/>
              <w:spacing w:before="0" w:after="0" w:line="240" w:lineRule="auto"/>
              <w:rPr>
                <w:rFonts w:ascii="Arial" w:hAnsi="Arial" w:cs="Arial"/>
                <w:sz w:val="20"/>
                <w:szCs w:val="20"/>
              </w:rPr>
            </w:pPr>
          </w:p>
        </w:tc>
        <w:tc>
          <w:tcPr>
            <w:tcW w:w="1512" w:type="dxa"/>
            <w:shd w:val="clear" w:color="auto" w:fill="auto"/>
          </w:tcPr>
          <w:p w14:paraId="554D30F2" w14:textId="77777777" w:rsidR="003D5B87" w:rsidRPr="00D61EE0" w:rsidRDefault="003D5B87" w:rsidP="00CD35DC">
            <w:pPr>
              <w:pStyle w:val="Standardtext"/>
              <w:spacing w:before="0" w:after="0" w:line="240" w:lineRule="auto"/>
              <w:rPr>
                <w:rFonts w:ascii="Arial" w:hAnsi="Arial" w:cs="Arial"/>
                <w:sz w:val="20"/>
                <w:szCs w:val="20"/>
              </w:rPr>
            </w:pPr>
          </w:p>
        </w:tc>
        <w:tc>
          <w:tcPr>
            <w:tcW w:w="1660" w:type="dxa"/>
            <w:shd w:val="clear" w:color="auto" w:fill="auto"/>
          </w:tcPr>
          <w:p w14:paraId="0D5B8810" w14:textId="77777777" w:rsidR="003D5B87" w:rsidRPr="00D61EE0" w:rsidRDefault="003D5B87" w:rsidP="00CD35DC">
            <w:pPr>
              <w:pStyle w:val="Standardtext"/>
              <w:spacing w:before="0" w:after="0" w:line="240" w:lineRule="auto"/>
              <w:rPr>
                <w:rFonts w:ascii="Arial" w:hAnsi="Arial" w:cs="Arial"/>
                <w:sz w:val="20"/>
                <w:szCs w:val="20"/>
              </w:rPr>
            </w:pPr>
          </w:p>
        </w:tc>
      </w:tr>
      <w:tr w:rsidR="003D5B87" w:rsidRPr="00D61EE0" w14:paraId="64D02EDF" w14:textId="77777777" w:rsidTr="00C830B0">
        <w:trPr>
          <w:trHeight w:val="340"/>
          <w:jc w:val="center"/>
        </w:trPr>
        <w:tc>
          <w:tcPr>
            <w:tcW w:w="500" w:type="dxa"/>
            <w:shd w:val="clear" w:color="auto" w:fill="auto"/>
          </w:tcPr>
          <w:p w14:paraId="3575E6B8" w14:textId="77777777" w:rsidR="003D5B87" w:rsidRPr="00D61EE0" w:rsidRDefault="003D5B87" w:rsidP="00CB7787">
            <w:pPr>
              <w:pStyle w:val="Standardtext"/>
              <w:spacing w:before="0" w:after="0" w:line="240" w:lineRule="auto"/>
              <w:jc w:val="center"/>
              <w:rPr>
                <w:rFonts w:ascii="Arial" w:hAnsi="Arial" w:cs="Arial"/>
                <w:sz w:val="20"/>
                <w:szCs w:val="20"/>
              </w:rPr>
            </w:pPr>
            <w:r w:rsidRPr="00D61EE0">
              <w:rPr>
                <w:rFonts w:ascii="Arial" w:hAnsi="Arial" w:cs="Arial"/>
                <w:sz w:val="20"/>
                <w:szCs w:val="20"/>
              </w:rPr>
              <w:t>5</w:t>
            </w:r>
          </w:p>
        </w:tc>
        <w:tc>
          <w:tcPr>
            <w:tcW w:w="2132" w:type="dxa"/>
            <w:shd w:val="clear" w:color="auto" w:fill="auto"/>
          </w:tcPr>
          <w:p w14:paraId="0720F8F7" w14:textId="77777777" w:rsidR="003D5B87" w:rsidRPr="00D61EE0" w:rsidRDefault="003D5B87" w:rsidP="00CD35DC">
            <w:pPr>
              <w:pStyle w:val="Standardtext"/>
              <w:spacing w:before="0" w:after="0" w:line="240" w:lineRule="auto"/>
              <w:rPr>
                <w:rFonts w:ascii="Arial" w:hAnsi="Arial" w:cs="Arial"/>
                <w:sz w:val="20"/>
                <w:szCs w:val="20"/>
              </w:rPr>
            </w:pPr>
          </w:p>
        </w:tc>
        <w:tc>
          <w:tcPr>
            <w:tcW w:w="765" w:type="dxa"/>
            <w:shd w:val="clear" w:color="auto" w:fill="auto"/>
          </w:tcPr>
          <w:p w14:paraId="16FBC039" w14:textId="4747E11C" w:rsidR="003D5B87" w:rsidRPr="00D61EE0" w:rsidRDefault="003D5B87" w:rsidP="00CD35DC">
            <w:pPr>
              <w:pStyle w:val="Standardtext"/>
              <w:spacing w:before="0" w:after="0" w:line="240" w:lineRule="auto"/>
              <w:rPr>
                <w:rFonts w:ascii="Arial" w:hAnsi="Arial" w:cs="Arial"/>
                <w:sz w:val="20"/>
                <w:szCs w:val="20"/>
              </w:rPr>
            </w:pPr>
          </w:p>
        </w:tc>
        <w:tc>
          <w:tcPr>
            <w:tcW w:w="1833" w:type="dxa"/>
            <w:shd w:val="clear" w:color="auto" w:fill="auto"/>
          </w:tcPr>
          <w:p w14:paraId="530A0FCA" w14:textId="77777777" w:rsidR="003D5B87" w:rsidRPr="00D61EE0" w:rsidRDefault="003D5B87" w:rsidP="00CD35DC">
            <w:pPr>
              <w:pStyle w:val="Standardtext"/>
              <w:spacing w:before="0" w:after="0" w:line="240" w:lineRule="auto"/>
              <w:rPr>
                <w:rFonts w:ascii="Arial" w:hAnsi="Arial" w:cs="Arial"/>
                <w:sz w:val="20"/>
                <w:szCs w:val="20"/>
              </w:rPr>
            </w:pPr>
          </w:p>
        </w:tc>
        <w:tc>
          <w:tcPr>
            <w:tcW w:w="1323" w:type="dxa"/>
            <w:shd w:val="clear" w:color="auto" w:fill="auto"/>
          </w:tcPr>
          <w:p w14:paraId="440CA45B" w14:textId="77777777" w:rsidR="003D5B87" w:rsidRPr="00D61EE0" w:rsidRDefault="003D5B87" w:rsidP="00CD35DC">
            <w:pPr>
              <w:pStyle w:val="Standardtext"/>
              <w:spacing w:before="0" w:after="0" w:line="240" w:lineRule="auto"/>
              <w:rPr>
                <w:rFonts w:ascii="Arial" w:hAnsi="Arial" w:cs="Arial"/>
                <w:sz w:val="20"/>
                <w:szCs w:val="20"/>
              </w:rPr>
            </w:pPr>
          </w:p>
        </w:tc>
        <w:tc>
          <w:tcPr>
            <w:tcW w:w="897" w:type="dxa"/>
          </w:tcPr>
          <w:p w14:paraId="7FBE8A2A" w14:textId="77777777" w:rsidR="003D5B87" w:rsidRPr="00D61EE0" w:rsidRDefault="003D5B87" w:rsidP="00CD35DC">
            <w:pPr>
              <w:pStyle w:val="Standardtext"/>
              <w:spacing w:before="0" w:after="0" w:line="240" w:lineRule="auto"/>
              <w:rPr>
                <w:rFonts w:ascii="Arial" w:hAnsi="Arial" w:cs="Arial"/>
                <w:sz w:val="20"/>
                <w:szCs w:val="20"/>
              </w:rPr>
            </w:pPr>
          </w:p>
        </w:tc>
        <w:tc>
          <w:tcPr>
            <w:tcW w:w="1512" w:type="dxa"/>
            <w:shd w:val="clear" w:color="auto" w:fill="auto"/>
          </w:tcPr>
          <w:p w14:paraId="4BC76FC8" w14:textId="77777777" w:rsidR="003D5B87" w:rsidRPr="00D61EE0" w:rsidRDefault="003D5B87" w:rsidP="00CD35DC">
            <w:pPr>
              <w:pStyle w:val="Standardtext"/>
              <w:spacing w:before="0" w:after="0" w:line="240" w:lineRule="auto"/>
              <w:rPr>
                <w:rFonts w:ascii="Arial" w:hAnsi="Arial" w:cs="Arial"/>
                <w:sz w:val="20"/>
                <w:szCs w:val="20"/>
              </w:rPr>
            </w:pPr>
          </w:p>
        </w:tc>
        <w:tc>
          <w:tcPr>
            <w:tcW w:w="1660" w:type="dxa"/>
            <w:shd w:val="clear" w:color="auto" w:fill="auto"/>
          </w:tcPr>
          <w:p w14:paraId="3D1835AE" w14:textId="77777777" w:rsidR="003D5B87" w:rsidRPr="00D61EE0" w:rsidRDefault="003D5B87" w:rsidP="00CD35DC">
            <w:pPr>
              <w:pStyle w:val="Standardtext"/>
              <w:spacing w:before="0" w:after="0" w:line="240" w:lineRule="auto"/>
              <w:rPr>
                <w:rFonts w:ascii="Arial" w:hAnsi="Arial" w:cs="Arial"/>
                <w:sz w:val="20"/>
                <w:szCs w:val="20"/>
              </w:rPr>
            </w:pPr>
          </w:p>
        </w:tc>
      </w:tr>
    </w:tbl>
    <w:p w14:paraId="21A318F9" w14:textId="77777777" w:rsidR="00897122" w:rsidRPr="00D61EE0" w:rsidRDefault="00897122" w:rsidP="00104AA5">
      <w:pPr>
        <w:pStyle w:val="Standardtext"/>
        <w:spacing w:before="0" w:after="0" w:line="240" w:lineRule="auto"/>
        <w:rPr>
          <w:rFonts w:ascii="Arial" w:hAnsi="Arial" w:cs="Arial"/>
          <w:sz w:val="20"/>
          <w:szCs w:val="20"/>
        </w:rPr>
      </w:pPr>
    </w:p>
    <w:p w14:paraId="2736BC16" w14:textId="5CD9E5BD" w:rsidR="00897122" w:rsidRDefault="00897122" w:rsidP="00AD44C2">
      <w:pPr>
        <w:rPr>
          <w:rFonts w:ascii="Arial" w:hAnsi="Arial" w:cs="Arial"/>
          <w:sz w:val="16"/>
          <w:szCs w:val="16"/>
          <w:lang w:val="es-ES"/>
        </w:rPr>
      </w:pPr>
    </w:p>
    <w:p w14:paraId="390A2369" w14:textId="7FCE6A18" w:rsidR="009814EA" w:rsidRPr="009814EA" w:rsidRDefault="009814EA" w:rsidP="009814EA">
      <w:pPr>
        <w:rPr>
          <w:sz w:val="18"/>
          <w:szCs w:val="18"/>
        </w:rPr>
      </w:pPr>
      <w:r w:rsidRPr="009814EA">
        <w:rPr>
          <w:sz w:val="18"/>
          <w:szCs w:val="18"/>
        </w:rPr>
        <w:t>Manifestamos expresamente que nos comprometemos a cumplir con el Instructivo para la Administración y Operación de</w:t>
      </w:r>
      <w:r w:rsidR="003D5B87">
        <w:rPr>
          <w:sz w:val="18"/>
          <w:szCs w:val="18"/>
        </w:rPr>
        <w:t xml:space="preserve">l Sistema de </w:t>
      </w:r>
      <w:r>
        <w:rPr>
          <w:sz w:val="18"/>
          <w:szCs w:val="18"/>
        </w:rPr>
        <w:t>Pagos Masivos</w:t>
      </w:r>
      <w:r w:rsidRPr="009814EA">
        <w:rPr>
          <w:sz w:val="18"/>
          <w:szCs w:val="18"/>
        </w:rPr>
        <w:t>, emitido por el Banco Central de Reserva de El Salvador, y demás disposiciones aplicables al mismo.</w:t>
      </w:r>
    </w:p>
    <w:p w14:paraId="2E4F7361" w14:textId="77777777" w:rsidR="009814EA" w:rsidRPr="00D61EE0" w:rsidRDefault="009814EA" w:rsidP="00AD44C2">
      <w:pPr>
        <w:rPr>
          <w:rFonts w:ascii="Arial" w:hAnsi="Arial" w:cs="Arial"/>
          <w:sz w:val="16"/>
          <w:szCs w:val="16"/>
          <w:lang w:val="es-ES"/>
        </w:rPr>
      </w:pPr>
    </w:p>
    <w:p w14:paraId="79DA635E" w14:textId="2ED91F95" w:rsidR="00897122" w:rsidRPr="00D61EE0" w:rsidRDefault="00897122" w:rsidP="00104AA5">
      <w:pPr>
        <w:pStyle w:val="Standardtext"/>
        <w:spacing w:before="0" w:after="0" w:line="240" w:lineRule="auto"/>
        <w:rPr>
          <w:rFonts w:ascii="Arial" w:hAnsi="Arial" w:cs="Arial"/>
          <w:sz w:val="20"/>
          <w:szCs w:val="20"/>
          <w:lang w:val="es-MX"/>
        </w:rPr>
      </w:pPr>
    </w:p>
    <w:p w14:paraId="4A230303" w14:textId="24A9BC50" w:rsidR="00897122" w:rsidRPr="00D61EE0" w:rsidRDefault="00897122" w:rsidP="00104AA5">
      <w:pPr>
        <w:pStyle w:val="Standardtext"/>
        <w:spacing w:before="0" w:after="0" w:line="240" w:lineRule="auto"/>
        <w:rPr>
          <w:rFonts w:ascii="Arial" w:hAnsi="Arial" w:cs="Arial"/>
          <w:sz w:val="20"/>
          <w:szCs w:val="20"/>
          <w:lang w:val="es-MX"/>
        </w:rPr>
      </w:pPr>
    </w:p>
    <w:p w14:paraId="3C37594A" w14:textId="4A05F5CA" w:rsidR="00897122" w:rsidRPr="00D61EE0" w:rsidRDefault="00897122" w:rsidP="00AD44C2">
      <w:pPr>
        <w:pStyle w:val="Standardtext"/>
        <w:spacing w:before="0" w:after="0" w:line="240" w:lineRule="auto"/>
        <w:jc w:val="center"/>
        <w:rPr>
          <w:rFonts w:ascii="Arial" w:hAnsi="Arial" w:cs="Arial"/>
          <w:sz w:val="20"/>
          <w:szCs w:val="20"/>
          <w:lang w:val="es-MX"/>
        </w:rPr>
      </w:pPr>
      <w:r w:rsidRPr="00D61EE0">
        <w:rPr>
          <w:rFonts w:ascii="Arial" w:hAnsi="Arial" w:cs="Arial"/>
          <w:sz w:val="20"/>
          <w:szCs w:val="20"/>
          <w:lang w:val="es-MX"/>
        </w:rPr>
        <w:t>______________________________</w:t>
      </w:r>
    </w:p>
    <w:p w14:paraId="185A064B" w14:textId="2E4FB246" w:rsidR="008C47C3" w:rsidRPr="00D61EE0" w:rsidRDefault="00EB68BE" w:rsidP="008C47C3">
      <w:pPr>
        <w:pStyle w:val="Standardtext"/>
        <w:spacing w:before="0" w:after="0" w:line="240" w:lineRule="auto"/>
        <w:jc w:val="center"/>
        <w:rPr>
          <w:rFonts w:ascii="Arial" w:hAnsi="Arial" w:cs="Arial"/>
          <w:sz w:val="18"/>
          <w:szCs w:val="20"/>
          <w:lang w:val="es-MX"/>
        </w:rPr>
      </w:pPr>
      <w:r>
        <w:rPr>
          <w:rFonts w:ascii="Arial" w:hAnsi="Arial" w:cs="Arial"/>
          <w:sz w:val="18"/>
          <w:szCs w:val="20"/>
          <w:lang w:val="es-MX"/>
        </w:rPr>
        <w:t>Nombre,</w:t>
      </w:r>
      <w:r w:rsidR="00897122" w:rsidRPr="00D61EE0">
        <w:rPr>
          <w:rFonts w:ascii="Arial" w:hAnsi="Arial" w:cs="Arial"/>
          <w:sz w:val="18"/>
          <w:szCs w:val="20"/>
          <w:lang w:val="es-MX"/>
        </w:rPr>
        <w:t xml:space="preserve"> firma</w:t>
      </w:r>
      <w:r>
        <w:rPr>
          <w:rFonts w:ascii="Arial" w:hAnsi="Arial" w:cs="Arial"/>
          <w:sz w:val="18"/>
          <w:szCs w:val="20"/>
          <w:lang w:val="es-MX"/>
        </w:rPr>
        <w:t xml:space="preserve"> y Sello</w:t>
      </w:r>
    </w:p>
    <w:p w14:paraId="0935CE8B" w14:textId="5171772D" w:rsidR="008C47C3" w:rsidRPr="00D61EE0" w:rsidRDefault="008C47C3" w:rsidP="008C47C3">
      <w:pPr>
        <w:pStyle w:val="Standardtext"/>
        <w:spacing w:before="0" w:after="0" w:line="240" w:lineRule="auto"/>
        <w:jc w:val="center"/>
        <w:rPr>
          <w:rFonts w:ascii="Arial" w:hAnsi="Arial" w:cs="Arial"/>
          <w:sz w:val="20"/>
          <w:szCs w:val="20"/>
          <w:lang w:val="es-MX"/>
        </w:rPr>
      </w:pPr>
      <w:r w:rsidRPr="00D61EE0">
        <w:rPr>
          <w:rFonts w:ascii="Arial" w:hAnsi="Arial" w:cs="Arial"/>
          <w:sz w:val="18"/>
          <w:szCs w:val="20"/>
          <w:lang w:val="es-MX"/>
        </w:rPr>
        <w:t xml:space="preserve">Represente Legal/ </w:t>
      </w:r>
      <w:r w:rsidR="00F41474">
        <w:rPr>
          <w:rFonts w:ascii="Arial" w:hAnsi="Arial" w:cs="Arial"/>
          <w:sz w:val="18"/>
          <w:szCs w:val="20"/>
          <w:lang w:val="es-MX"/>
        </w:rPr>
        <w:t>funcionario delegado</w:t>
      </w:r>
    </w:p>
    <w:p w14:paraId="32694580" w14:textId="39CC8A16" w:rsidR="00897122" w:rsidRPr="00D61EE0" w:rsidRDefault="00493FE8" w:rsidP="00AD44C2">
      <w:pPr>
        <w:pStyle w:val="Standardtext"/>
        <w:spacing w:before="0" w:after="0" w:line="240" w:lineRule="auto"/>
        <w:jc w:val="center"/>
        <w:rPr>
          <w:rFonts w:ascii="Arial" w:hAnsi="Arial" w:cs="Arial"/>
          <w:sz w:val="18"/>
          <w:szCs w:val="20"/>
          <w:lang w:val="es-MX"/>
        </w:rPr>
      </w:pPr>
      <w:r w:rsidRPr="00D61EE0">
        <w:rPr>
          <w:rFonts w:ascii="Arial" w:hAnsi="Arial" w:cs="Arial"/>
          <w:noProof/>
          <w:sz w:val="18"/>
          <w:szCs w:val="20"/>
          <w:lang w:val="es-SV" w:eastAsia="es-SV"/>
        </w:rPr>
        <mc:AlternateContent>
          <mc:Choice Requires="wps">
            <w:drawing>
              <wp:anchor distT="0" distB="0" distL="114300" distR="114300" simplePos="0" relativeHeight="251658240" behindDoc="0" locked="0" layoutInCell="1" allowOverlap="1" wp14:anchorId="186214AF" wp14:editId="2E646F2A">
                <wp:simplePos x="0" y="0"/>
                <wp:positionH relativeFrom="column">
                  <wp:posOffset>-353695</wp:posOffset>
                </wp:positionH>
                <wp:positionV relativeFrom="paragraph">
                  <wp:posOffset>205105</wp:posOffset>
                </wp:positionV>
                <wp:extent cx="2509520" cy="888365"/>
                <wp:effectExtent l="0" t="0" r="0" b="698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A4790" w14:textId="5AAC02E9" w:rsidR="003E1DCD" w:rsidRPr="00FD4661" w:rsidRDefault="003E1DCD" w:rsidP="009814EA">
                            <w:pPr>
                              <w:rPr>
                                <w:rFonts w:ascii="Museo Sans 300" w:hAnsi="Museo Sans 300"/>
                                <w:b/>
                                <w:sz w:val="16"/>
                              </w:rPr>
                            </w:pPr>
                            <w:r w:rsidRPr="00FD4661">
                              <w:rPr>
                                <w:rFonts w:ascii="Museo Sans 300" w:hAnsi="Museo Sans 300"/>
                                <w:b/>
                                <w:sz w:val="16"/>
                              </w:rPr>
                              <w:t xml:space="preserve">GP: </w:t>
                            </w:r>
                            <w:r w:rsidRPr="00FD4661">
                              <w:rPr>
                                <w:rFonts w:ascii="Museo Sans 300" w:hAnsi="Museo Sans 300"/>
                                <w:bCs/>
                                <w:sz w:val="16"/>
                              </w:rPr>
                              <w:t>Gateway Participante</w:t>
                            </w:r>
                          </w:p>
                          <w:p w14:paraId="6D881D93" w14:textId="5BDAF2E2" w:rsidR="003E1DCD" w:rsidRPr="00FD4661" w:rsidRDefault="003E1DCD" w:rsidP="009814EA">
                            <w:pPr>
                              <w:rPr>
                                <w:rFonts w:ascii="Museo Sans 300" w:hAnsi="Museo Sans 300"/>
                                <w:b/>
                                <w:sz w:val="16"/>
                              </w:rPr>
                            </w:pPr>
                            <w:r w:rsidRPr="00FD4661">
                              <w:rPr>
                                <w:rFonts w:ascii="Museo Sans 300" w:hAnsi="Museo Sans 300"/>
                                <w:b/>
                                <w:sz w:val="16"/>
                              </w:rPr>
                              <w:t xml:space="preserve">AP: </w:t>
                            </w:r>
                            <w:r w:rsidRPr="00FD4661">
                              <w:rPr>
                                <w:rFonts w:ascii="Museo Sans 300" w:hAnsi="Museo Sans 300"/>
                                <w:bCs/>
                                <w:sz w:val="16"/>
                              </w:rPr>
                              <w:t>Administrador Participante</w:t>
                            </w:r>
                          </w:p>
                          <w:p w14:paraId="19E38E6F" w14:textId="3F9721AD" w:rsidR="003E1DCD" w:rsidRPr="00FD4661" w:rsidRDefault="003E1DCD" w:rsidP="009814EA">
                            <w:pPr>
                              <w:rPr>
                                <w:rFonts w:ascii="Museo Sans 300" w:hAnsi="Museo Sans 300"/>
                                <w:bCs/>
                                <w:sz w:val="16"/>
                              </w:rPr>
                            </w:pPr>
                            <w:r w:rsidRPr="00FD4661">
                              <w:rPr>
                                <w:rFonts w:ascii="Museo Sans 300" w:hAnsi="Museo Sans 300"/>
                                <w:b/>
                                <w:sz w:val="16"/>
                              </w:rPr>
                              <w:t xml:space="preserve">RP: </w:t>
                            </w:r>
                            <w:r w:rsidRPr="00FD4661">
                              <w:rPr>
                                <w:rFonts w:ascii="Museo Sans 300" w:hAnsi="Museo Sans 300"/>
                                <w:bCs/>
                                <w:sz w:val="16"/>
                              </w:rPr>
                              <w:t>Registrador Participante</w:t>
                            </w:r>
                          </w:p>
                          <w:p w14:paraId="49DBFFE1" w14:textId="57A19FE3" w:rsidR="003E1DCD" w:rsidRPr="00FD4661" w:rsidRDefault="003E1DCD" w:rsidP="009814EA">
                            <w:pPr>
                              <w:rPr>
                                <w:rFonts w:ascii="Museo Sans 300" w:hAnsi="Museo Sans 300"/>
                                <w:b/>
                                <w:sz w:val="16"/>
                              </w:rPr>
                            </w:pPr>
                            <w:r w:rsidRPr="00FD4661">
                              <w:rPr>
                                <w:rFonts w:ascii="Museo Sans 300" w:hAnsi="Museo Sans 300"/>
                                <w:b/>
                                <w:sz w:val="16"/>
                              </w:rPr>
                              <w:t xml:space="preserve">ATP: </w:t>
                            </w:r>
                            <w:r w:rsidRPr="00FD4661">
                              <w:rPr>
                                <w:rFonts w:ascii="Museo Sans 300" w:hAnsi="Museo Sans 300"/>
                                <w:bCs/>
                                <w:sz w:val="16"/>
                              </w:rPr>
                              <w:t>Autorizador Participante</w:t>
                            </w:r>
                          </w:p>
                          <w:p w14:paraId="17F4467D" w14:textId="3339298A" w:rsidR="003E1DCD" w:rsidRPr="00FD4661" w:rsidRDefault="003E1DCD" w:rsidP="009814EA">
                            <w:pPr>
                              <w:rPr>
                                <w:rFonts w:ascii="Museo Sans 300" w:hAnsi="Museo Sans 300"/>
                                <w:b/>
                                <w:sz w:val="16"/>
                              </w:rPr>
                            </w:pPr>
                            <w:r w:rsidRPr="00FD4661">
                              <w:rPr>
                                <w:rFonts w:ascii="Museo Sans 300" w:hAnsi="Museo Sans 300"/>
                                <w:b/>
                                <w:sz w:val="16"/>
                              </w:rPr>
                              <w:t xml:space="preserve">CP: </w:t>
                            </w:r>
                            <w:r w:rsidRPr="00FD4661">
                              <w:rPr>
                                <w:rFonts w:ascii="Museo Sans 300" w:hAnsi="Museo Sans 300"/>
                                <w:bCs/>
                                <w:sz w:val="16"/>
                              </w:rPr>
                              <w:t>Consulta Participante</w:t>
                            </w:r>
                          </w:p>
                          <w:p w14:paraId="0ED1BA2D" w14:textId="77777777" w:rsidR="003E1DCD" w:rsidRPr="009814EA" w:rsidRDefault="003E1DCD" w:rsidP="00897122">
                            <w:pPr>
                              <w:rPr>
                                <w:rFonts w:ascii="Arial" w:hAnsi="Arial" w:cs="Arial"/>
                                <w:sz w:val="32"/>
                                <w:szCs w:val="32"/>
                              </w:rPr>
                            </w:pPr>
                          </w:p>
                          <w:p w14:paraId="1EDFFAC2" w14:textId="77777777" w:rsidR="003E1DCD" w:rsidRPr="009814EA" w:rsidRDefault="003E1DCD" w:rsidP="00897122">
                            <w:pPr>
                              <w:rPr>
                                <w:sz w:val="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14AF" id="Cuadro de texto 4" o:spid="_x0000_s1029" type="#_x0000_t202" style="position:absolute;left:0;text-align:left;margin-left:-27.85pt;margin-top:16.15pt;width:197.6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" filled="f" stroked="f">
                <v:textbox>
                  <w:txbxContent>
                    <w:p w14:paraId="26AA4790" w14:textId="5AAC02E9" w:rsidR="003E1DCD" w:rsidRPr="00FD4661" w:rsidRDefault="003E1DCD" w:rsidP="009814EA">
                      <w:pPr>
                        <w:rPr>
                          <w:rFonts w:ascii="Museo Sans 300" w:hAnsi="Museo Sans 300"/>
                          <w:b/>
                          <w:sz w:val="16"/>
                        </w:rPr>
                      </w:pPr>
                      <w:r w:rsidRPr="00FD4661">
                        <w:rPr>
                          <w:rFonts w:ascii="Museo Sans 300" w:hAnsi="Museo Sans 300"/>
                          <w:b/>
                          <w:sz w:val="16"/>
                        </w:rPr>
                        <w:t xml:space="preserve">GP: </w:t>
                      </w:r>
                      <w:r w:rsidRPr="00FD4661">
                        <w:rPr>
                          <w:rFonts w:ascii="Museo Sans 300" w:hAnsi="Museo Sans 300"/>
                          <w:bCs/>
                          <w:sz w:val="16"/>
                        </w:rPr>
                        <w:t>Gateway Participante</w:t>
                      </w:r>
                    </w:p>
                    <w:p w14:paraId="6D881D93" w14:textId="5BDAF2E2" w:rsidR="003E1DCD" w:rsidRPr="00FD4661" w:rsidRDefault="003E1DCD" w:rsidP="009814EA">
                      <w:pPr>
                        <w:rPr>
                          <w:rFonts w:ascii="Museo Sans 300" w:hAnsi="Museo Sans 300"/>
                          <w:b/>
                          <w:sz w:val="16"/>
                        </w:rPr>
                      </w:pPr>
                      <w:r w:rsidRPr="00FD4661">
                        <w:rPr>
                          <w:rFonts w:ascii="Museo Sans 300" w:hAnsi="Museo Sans 300"/>
                          <w:b/>
                          <w:sz w:val="16"/>
                        </w:rPr>
                        <w:t xml:space="preserve">AP: </w:t>
                      </w:r>
                      <w:r w:rsidRPr="00FD4661">
                        <w:rPr>
                          <w:rFonts w:ascii="Museo Sans 300" w:hAnsi="Museo Sans 300"/>
                          <w:bCs/>
                          <w:sz w:val="16"/>
                        </w:rPr>
                        <w:t>Administrador Participante</w:t>
                      </w:r>
                    </w:p>
                    <w:p w14:paraId="19E38E6F" w14:textId="3F9721AD" w:rsidR="003E1DCD" w:rsidRPr="00FD4661" w:rsidRDefault="003E1DCD" w:rsidP="009814EA">
                      <w:pPr>
                        <w:rPr>
                          <w:rFonts w:ascii="Museo Sans 300" w:hAnsi="Museo Sans 300"/>
                          <w:bCs/>
                          <w:sz w:val="16"/>
                        </w:rPr>
                      </w:pPr>
                      <w:r w:rsidRPr="00FD4661">
                        <w:rPr>
                          <w:rFonts w:ascii="Museo Sans 300" w:hAnsi="Museo Sans 300"/>
                          <w:b/>
                          <w:sz w:val="16"/>
                        </w:rPr>
                        <w:t xml:space="preserve">RP: </w:t>
                      </w:r>
                      <w:r w:rsidRPr="00FD4661">
                        <w:rPr>
                          <w:rFonts w:ascii="Museo Sans 300" w:hAnsi="Museo Sans 300"/>
                          <w:bCs/>
                          <w:sz w:val="16"/>
                        </w:rPr>
                        <w:t>Registrador Participante</w:t>
                      </w:r>
                    </w:p>
                    <w:p w14:paraId="49DBFFE1" w14:textId="57A19FE3" w:rsidR="003E1DCD" w:rsidRPr="00FD4661" w:rsidRDefault="003E1DCD" w:rsidP="009814EA">
                      <w:pPr>
                        <w:rPr>
                          <w:rFonts w:ascii="Museo Sans 300" w:hAnsi="Museo Sans 300"/>
                          <w:b/>
                          <w:sz w:val="16"/>
                        </w:rPr>
                      </w:pPr>
                      <w:r w:rsidRPr="00FD4661">
                        <w:rPr>
                          <w:rFonts w:ascii="Museo Sans 300" w:hAnsi="Museo Sans 300"/>
                          <w:b/>
                          <w:sz w:val="16"/>
                        </w:rPr>
                        <w:t xml:space="preserve">ATP: </w:t>
                      </w:r>
                      <w:r w:rsidRPr="00FD4661">
                        <w:rPr>
                          <w:rFonts w:ascii="Museo Sans 300" w:hAnsi="Museo Sans 300"/>
                          <w:bCs/>
                          <w:sz w:val="16"/>
                        </w:rPr>
                        <w:t>Autorizador Participante</w:t>
                      </w:r>
                    </w:p>
                    <w:p w14:paraId="17F4467D" w14:textId="3339298A" w:rsidR="003E1DCD" w:rsidRPr="00FD4661" w:rsidRDefault="003E1DCD" w:rsidP="009814EA">
                      <w:pPr>
                        <w:rPr>
                          <w:rFonts w:ascii="Museo Sans 300" w:hAnsi="Museo Sans 300"/>
                          <w:b/>
                          <w:sz w:val="16"/>
                        </w:rPr>
                      </w:pPr>
                      <w:r w:rsidRPr="00FD4661">
                        <w:rPr>
                          <w:rFonts w:ascii="Museo Sans 300" w:hAnsi="Museo Sans 300"/>
                          <w:b/>
                          <w:sz w:val="16"/>
                        </w:rPr>
                        <w:t xml:space="preserve">CP: </w:t>
                      </w:r>
                      <w:r w:rsidRPr="00FD4661">
                        <w:rPr>
                          <w:rFonts w:ascii="Museo Sans 300" w:hAnsi="Museo Sans 300"/>
                          <w:bCs/>
                          <w:sz w:val="16"/>
                        </w:rPr>
                        <w:t>Consulta Participante</w:t>
                      </w:r>
                    </w:p>
                    <w:p w14:paraId="0ED1BA2D" w14:textId="77777777" w:rsidR="003E1DCD" w:rsidRPr="009814EA" w:rsidRDefault="003E1DCD" w:rsidP="00897122">
                      <w:pPr>
                        <w:rPr>
                          <w:rFonts w:ascii="Arial" w:hAnsi="Arial" w:cs="Arial"/>
                          <w:sz w:val="32"/>
                          <w:szCs w:val="32"/>
                        </w:rPr>
                      </w:pPr>
                    </w:p>
                    <w:p w14:paraId="1EDFFAC2" w14:textId="77777777" w:rsidR="003E1DCD" w:rsidRPr="009814EA" w:rsidRDefault="003E1DCD" w:rsidP="00897122">
                      <w:pPr>
                        <w:rPr>
                          <w:sz w:val="32"/>
                          <w:szCs w:val="24"/>
                        </w:rPr>
                      </w:pPr>
                    </w:p>
                  </w:txbxContent>
                </v:textbox>
              </v:shape>
            </w:pict>
          </mc:Fallback>
        </mc:AlternateContent>
      </w:r>
    </w:p>
    <w:p w14:paraId="765D723C" w14:textId="77777777" w:rsidR="009814EA" w:rsidRPr="009814EA" w:rsidRDefault="009814EA" w:rsidP="009814EA">
      <w:pPr>
        <w:tabs>
          <w:tab w:val="left" w:pos="10230"/>
        </w:tabs>
        <w:rPr>
          <w:lang w:val="es-MX" w:eastAsia="en-US"/>
        </w:rPr>
        <w:sectPr w:rsidR="009814EA" w:rsidRPr="009814EA" w:rsidSect="007012AA">
          <w:headerReference w:type="even" r:id="rId25"/>
          <w:headerReference w:type="default" r:id="rId26"/>
          <w:footerReference w:type="default" r:id="rId27"/>
          <w:headerReference w:type="first" r:id="rId28"/>
          <w:footerReference w:type="first" r:id="rId29"/>
          <w:pgSz w:w="15840" w:h="12240" w:orient="landscape" w:code="1"/>
          <w:pgMar w:top="1417" w:right="1701" w:bottom="993" w:left="1701" w:header="720" w:footer="352" w:gutter="0"/>
          <w:cols w:space="720"/>
          <w:titlePg/>
          <w:docGrid w:linePitch="360"/>
        </w:sectPr>
      </w:pPr>
    </w:p>
    <w:p w14:paraId="2049C949" w14:textId="59215FCB" w:rsidR="00D270B5" w:rsidRPr="00D270B5" w:rsidRDefault="009427D8" w:rsidP="00D270B5">
      <w:pPr>
        <w:pStyle w:val="Textoindependiente"/>
        <w:spacing w:line="276" w:lineRule="auto"/>
        <w:ind w:left="2127"/>
        <w:jc w:val="right"/>
        <w:rPr>
          <w:rFonts w:ascii="Arial" w:hAnsi="Arial" w:cs="Arial"/>
          <w:b/>
          <w:sz w:val="22"/>
          <w:szCs w:val="22"/>
        </w:rPr>
      </w:pPr>
      <w:bookmarkStart w:id="101" w:name="_Toc5699730"/>
      <w:bookmarkStart w:id="102" w:name="_Toc5891055"/>
      <w:bookmarkStart w:id="103" w:name="_Toc5892166"/>
      <w:r w:rsidRPr="3F9D8079">
        <w:rPr>
          <w:rFonts w:ascii="Arial" w:hAnsi="Arial" w:cs="Arial"/>
          <w:b/>
          <w:bCs/>
          <w:sz w:val="22"/>
          <w:szCs w:val="22"/>
        </w:rPr>
        <w:lastRenderedPageBreak/>
        <w:t xml:space="preserve">ANEXO No. </w:t>
      </w:r>
      <w:r w:rsidR="00134136">
        <w:rPr>
          <w:rFonts w:ascii="Arial" w:hAnsi="Arial" w:cs="Arial"/>
          <w:b/>
          <w:bCs/>
          <w:sz w:val="22"/>
          <w:szCs w:val="22"/>
        </w:rPr>
        <w:t>3</w:t>
      </w:r>
    </w:p>
    <w:p w14:paraId="5B93746D" w14:textId="3099A262" w:rsidR="009427D8" w:rsidRPr="00D61EE0" w:rsidRDefault="009427D8" w:rsidP="009427D8">
      <w:pPr>
        <w:pStyle w:val="Textoindependiente"/>
        <w:spacing w:line="276" w:lineRule="auto"/>
        <w:jc w:val="center"/>
        <w:rPr>
          <w:rFonts w:ascii="Arial" w:hAnsi="Arial" w:cs="Arial"/>
          <w:b/>
          <w:szCs w:val="22"/>
          <w:lang w:val="es-ES"/>
        </w:rPr>
      </w:pPr>
      <w:r w:rsidRPr="00D61EE0">
        <w:rPr>
          <w:rFonts w:ascii="Arial" w:hAnsi="Arial" w:cs="Arial"/>
          <w:b/>
          <w:szCs w:val="22"/>
          <w:lang w:val="es-ES"/>
        </w:rPr>
        <w:t xml:space="preserve">Administración de </w:t>
      </w:r>
      <w:r w:rsidR="00FF5E51">
        <w:rPr>
          <w:rFonts w:ascii="Arial" w:hAnsi="Arial" w:cs="Arial"/>
          <w:b/>
          <w:szCs w:val="22"/>
          <w:lang w:val="es-ES"/>
        </w:rPr>
        <w:t>U</w:t>
      </w:r>
      <w:r w:rsidRPr="00D61EE0">
        <w:rPr>
          <w:rFonts w:ascii="Arial" w:hAnsi="Arial" w:cs="Arial"/>
          <w:b/>
          <w:szCs w:val="22"/>
          <w:lang w:val="es-ES"/>
        </w:rPr>
        <w:t xml:space="preserve">suarios de los </w:t>
      </w:r>
      <w:r w:rsidR="00EB68BE">
        <w:rPr>
          <w:rFonts w:ascii="Arial" w:hAnsi="Arial" w:cs="Arial"/>
          <w:b/>
          <w:szCs w:val="22"/>
          <w:lang w:val="es-ES"/>
        </w:rPr>
        <w:t>Participante</w:t>
      </w:r>
      <w:r w:rsidRPr="00D61EE0">
        <w:rPr>
          <w:rFonts w:ascii="Arial" w:hAnsi="Arial" w:cs="Arial"/>
          <w:b/>
          <w:szCs w:val="22"/>
          <w:lang w:val="es-ES"/>
        </w:rPr>
        <w:t>s</w:t>
      </w:r>
    </w:p>
    <w:p w14:paraId="2CB7ECCE" w14:textId="670FF17D" w:rsidR="007652C2" w:rsidRPr="00EA6199" w:rsidRDefault="007652C2" w:rsidP="007652C2">
      <w:pPr>
        <w:pStyle w:val="Textoindependiente"/>
        <w:spacing w:line="276" w:lineRule="auto"/>
        <w:rPr>
          <w:rFonts w:ascii="Arial" w:hAnsi="Arial" w:cs="Arial"/>
          <w:sz w:val="20"/>
          <w:szCs w:val="22"/>
          <w:lang w:val="es-ES"/>
        </w:rPr>
      </w:pPr>
      <w:r w:rsidRPr="00D61EE0">
        <w:rPr>
          <w:rFonts w:ascii="Arial" w:hAnsi="Arial" w:cs="Arial"/>
          <w:sz w:val="20"/>
          <w:szCs w:val="22"/>
          <w:lang w:val="es-ES"/>
        </w:rPr>
        <w:t xml:space="preserve">Los </w:t>
      </w:r>
      <w:r w:rsidRPr="00EA6199">
        <w:rPr>
          <w:rFonts w:ascii="Arial" w:hAnsi="Arial" w:cs="Arial"/>
          <w:sz w:val="20"/>
          <w:szCs w:val="22"/>
          <w:lang w:val="es-ES"/>
        </w:rPr>
        <w:t>módulos S</w:t>
      </w:r>
      <w:r w:rsidR="00EA6199" w:rsidRPr="00EA6199">
        <w:rPr>
          <w:rFonts w:ascii="Arial" w:hAnsi="Arial" w:cs="Arial"/>
          <w:sz w:val="20"/>
          <w:szCs w:val="22"/>
          <w:lang w:val="es-ES"/>
        </w:rPr>
        <w:t>istema de Compensación</w:t>
      </w:r>
      <w:r w:rsidRPr="00EA6199">
        <w:rPr>
          <w:rFonts w:ascii="Arial" w:hAnsi="Arial" w:cs="Arial"/>
          <w:sz w:val="20"/>
          <w:szCs w:val="22"/>
          <w:lang w:val="es-ES"/>
        </w:rPr>
        <w:t xml:space="preserve"> y PO tienen administración de usuarios independiente, lo que significa que se asignará un usuario y perfil para cada módulo, considerando los siguientes aspectos:</w:t>
      </w:r>
    </w:p>
    <w:p w14:paraId="27046AC9" w14:textId="7A7B7C94" w:rsidR="007652C2" w:rsidRPr="00EA6199" w:rsidRDefault="007652C2" w:rsidP="00D2510A">
      <w:pPr>
        <w:pStyle w:val="Textoindependiente"/>
        <w:numPr>
          <w:ilvl w:val="0"/>
          <w:numId w:val="7"/>
        </w:numPr>
        <w:spacing w:after="0" w:line="276" w:lineRule="auto"/>
        <w:ind w:left="709" w:hanging="425"/>
        <w:jc w:val="both"/>
        <w:rPr>
          <w:rFonts w:ascii="Arial" w:hAnsi="Arial" w:cs="Arial"/>
          <w:sz w:val="20"/>
          <w:szCs w:val="22"/>
          <w:lang w:val="es-ES"/>
        </w:rPr>
      </w:pPr>
      <w:r w:rsidRPr="00EA6199">
        <w:rPr>
          <w:rFonts w:ascii="Arial" w:hAnsi="Arial" w:cs="Arial"/>
          <w:sz w:val="20"/>
          <w:szCs w:val="22"/>
          <w:lang w:val="es-ES"/>
        </w:rPr>
        <w:t xml:space="preserve">Se asignará a cada </w:t>
      </w:r>
      <w:r w:rsidR="00EB68BE">
        <w:rPr>
          <w:rFonts w:ascii="Arial" w:hAnsi="Arial" w:cs="Arial"/>
          <w:sz w:val="20"/>
          <w:szCs w:val="22"/>
          <w:lang w:val="es-ES"/>
        </w:rPr>
        <w:t>Participante</w:t>
      </w:r>
      <w:r w:rsidRPr="00EA6199">
        <w:rPr>
          <w:rFonts w:ascii="Arial" w:hAnsi="Arial" w:cs="Arial"/>
          <w:sz w:val="20"/>
          <w:szCs w:val="22"/>
          <w:lang w:val="es-ES"/>
        </w:rPr>
        <w:t xml:space="preserve"> 1</w:t>
      </w:r>
      <w:r w:rsidR="003C2F1D" w:rsidRPr="00EA6199">
        <w:rPr>
          <w:rFonts w:ascii="Arial" w:hAnsi="Arial" w:cs="Arial"/>
          <w:sz w:val="20"/>
          <w:szCs w:val="22"/>
          <w:lang w:val="es-ES"/>
        </w:rPr>
        <w:t>1</w:t>
      </w:r>
      <w:r w:rsidRPr="00EA6199">
        <w:rPr>
          <w:rFonts w:ascii="Arial" w:hAnsi="Arial" w:cs="Arial"/>
          <w:sz w:val="20"/>
          <w:szCs w:val="22"/>
          <w:lang w:val="es-ES"/>
        </w:rPr>
        <w:t xml:space="preserve"> usuarios, los cuales tendrán acceso a ambos módulos: S</w:t>
      </w:r>
      <w:r w:rsidR="00EA6199" w:rsidRPr="00EA6199">
        <w:rPr>
          <w:rFonts w:ascii="Arial" w:hAnsi="Arial" w:cs="Arial"/>
          <w:sz w:val="20"/>
          <w:szCs w:val="22"/>
          <w:lang w:val="es-ES"/>
        </w:rPr>
        <w:t>istema de Compensación</w:t>
      </w:r>
      <w:r w:rsidRPr="00EA6199">
        <w:rPr>
          <w:rFonts w:ascii="Arial" w:hAnsi="Arial" w:cs="Arial"/>
          <w:sz w:val="20"/>
          <w:szCs w:val="22"/>
          <w:lang w:val="es-ES"/>
        </w:rPr>
        <w:t xml:space="preserve"> y PO.</w:t>
      </w:r>
    </w:p>
    <w:p w14:paraId="628D6698" w14:textId="77777777" w:rsidR="0029799F" w:rsidRDefault="007652C2" w:rsidP="00D2510A">
      <w:pPr>
        <w:pStyle w:val="Textoindependiente"/>
        <w:numPr>
          <w:ilvl w:val="0"/>
          <w:numId w:val="7"/>
        </w:numPr>
        <w:spacing w:after="0" w:line="276" w:lineRule="auto"/>
        <w:ind w:left="709" w:hanging="425"/>
        <w:jc w:val="both"/>
        <w:rPr>
          <w:rFonts w:ascii="Arial" w:hAnsi="Arial" w:cs="Arial"/>
          <w:sz w:val="20"/>
          <w:szCs w:val="22"/>
          <w:lang w:val="es-ES"/>
        </w:rPr>
      </w:pPr>
      <w:r w:rsidRPr="00D61EE0">
        <w:rPr>
          <w:rFonts w:ascii="Arial" w:hAnsi="Arial" w:cs="Arial"/>
          <w:sz w:val="20"/>
          <w:szCs w:val="22"/>
          <w:lang w:val="es-ES"/>
        </w:rPr>
        <w:t xml:space="preserve">Los usuarios se asignarán con los privilegios necesarios para operar ambos módulos de acuerdo con </w:t>
      </w:r>
      <w:r w:rsidR="00A31458" w:rsidRPr="00D61EE0">
        <w:rPr>
          <w:rFonts w:ascii="Arial" w:hAnsi="Arial" w:cs="Arial"/>
          <w:sz w:val="20"/>
          <w:szCs w:val="22"/>
          <w:lang w:val="es-ES"/>
        </w:rPr>
        <w:t>el</w:t>
      </w:r>
      <w:r w:rsidR="00A31458" w:rsidRPr="00D61EE0">
        <w:rPr>
          <w:rFonts w:ascii="Arial" w:hAnsi="Arial" w:cs="Arial"/>
          <w:noProof/>
        </w:rPr>
        <w:t xml:space="preserve"> </w:t>
      </w:r>
      <w:r w:rsidR="00A31458" w:rsidRPr="00D61EE0">
        <w:rPr>
          <w:rFonts w:ascii="Arial" w:hAnsi="Arial" w:cs="Arial"/>
          <w:sz w:val="20"/>
          <w:szCs w:val="22"/>
          <w:lang w:val="es-ES"/>
        </w:rPr>
        <w:t>siguiente</w:t>
      </w:r>
      <w:r w:rsidRPr="00D61EE0">
        <w:rPr>
          <w:rFonts w:ascii="Arial" w:hAnsi="Arial" w:cs="Arial"/>
          <w:sz w:val="20"/>
          <w:szCs w:val="22"/>
          <w:lang w:val="es-ES"/>
        </w:rPr>
        <w:t xml:space="preserve"> detalle:</w:t>
      </w:r>
    </w:p>
    <w:p w14:paraId="6F817397" w14:textId="77AA7D14" w:rsidR="007652C2" w:rsidRPr="00D61EE0" w:rsidRDefault="007652C2" w:rsidP="00E34F18">
      <w:pPr>
        <w:pStyle w:val="Textoindependiente"/>
        <w:spacing w:after="0" w:line="276" w:lineRule="auto"/>
        <w:ind w:left="709"/>
        <w:jc w:val="both"/>
        <w:rPr>
          <w:rFonts w:ascii="Arial" w:hAnsi="Arial" w:cs="Arial"/>
          <w:sz w:val="20"/>
          <w:szCs w:val="22"/>
          <w:lang w:val="es-ES"/>
        </w:rPr>
      </w:pPr>
      <w:r w:rsidRPr="00D61EE0">
        <w:rPr>
          <w:rFonts w:ascii="Arial" w:hAnsi="Arial" w:cs="Arial"/>
          <w:sz w:val="20"/>
          <w:szCs w:val="22"/>
          <w:lang w:val="es-ES"/>
        </w:rPr>
        <w:t xml:space="preserve"> </w:t>
      </w:r>
    </w:p>
    <w:p w14:paraId="543C4823" w14:textId="06E02B06" w:rsidR="007652C2" w:rsidRPr="00D61EE0" w:rsidRDefault="007652C2" w:rsidP="00D2510A">
      <w:pPr>
        <w:pStyle w:val="Textoindependiente"/>
        <w:numPr>
          <w:ilvl w:val="2"/>
          <w:numId w:val="17"/>
        </w:numPr>
        <w:spacing w:after="0" w:line="276" w:lineRule="auto"/>
        <w:ind w:left="1134" w:hanging="425"/>
        <w:jc w:val="both"/>
        <w:rPr>
          <w:rFonts w:ascii="Arial" w:hAnsi="Arial" w:cs="Arial"/>
          <w:sz w:val="20"/>
          <w:szCs w:val="22"/>
          <w:lang w:val="es-ES"/>
        </w:rPr>
      </w:pPr>
      <w:r w:rsidRPr="00D61EE0">
        <w:rPr>
          <w:rFonts w:ascii="Arial" w:hAnsi="Arial" w:cs="Arial"/>
          <w:sz w:val="20"/>
          <w:szCs w:val="22"/>
          <w:lang w:val="es-ES"/>
        </w:rPr>
        <w:t xml:space="preserve">2 </w:t>
      </w:r>
      <w:r w:rsidR="00D3611D">
        <w:rPr>
          <w:rFonts w:ascii="Arial" w:hAnsi="Arial" w:cs="Arial"/>
          <w:sz w:val="20"/>
          <w:szCs w:val="22"/>
          <w:lang w:val="es-ES"/>
        </w:rPr>
        <w:t xml:space="preserve">Gateway </w:t>
      </w:r>
      <w:r w:rsidR="00EB68BE">
        <w:rPr>
          <w:rFonts w:ascii="Arial" w:hAnsi="Arial" w:cs="Arial"/>
          <w:sz w:val="20"/>
          <w:szCs w:val="22"/>
          <w:lang w:val="es-ES"/>
        </w:rPr>
        <w:t>Participante</w:t>
      </w:r>
      <w:r w:rsidR="00D3611D">
        <w:rPr>
          <w:rFonts w:ascii="Arial" w:hAnsi="Arial" w:cs="Arial"/>
          <w:sz w:val="20"/>
          <w:szCs w:val="22"/>
          <w:lang w:val="es-ES"/>
        </w:rPr>
        <w:t>: T</w:t>
      </w:r>
      <w:r w:rsidR="00A31458" w:rsidRPr="00D61EE0">
        <w:rPr>
          <w:rFonts w:ascii="Arial" w:hAnsi="Arial" w:cs="Arial"/>
          <w:sz w:val="20"/>
          <w:szCs w:val="22"/>
          <w:lang w:val="es-ES"/>
        </w:rPr>
        <w:t>oken</w:t>
      </w:r>
      <w:r w:rsidRPr="00D61EE0">
        <w:rPr>
          <w:rFonts w:ascii="Arial" w:hAnsi="Arial" w:cs="Arial"/>
          <w:sz w:val="20"/>
          <w:szCs w:val="22"/>
          <w:lang w:val="es-ES"/>
        </w:rPr>
        <w:t xml:space="preserve"> que serán entregados para los servidores de los sitios principal y el de contingencia. </w:t>
      </w:r>
    </w:p>
    <w:p w14:paraId="27A8504A" w14:textId="6D626427" w:rsidR="007652C2" w:rsidRPr="00D61EE0" w:rsidRDefault="007652C2" w:rsidP="00D2510A">
      <w:pPr>
        <w:pStyle w:val="Textoindependiente"/>
        <w:numPr>
          <w:ilvl w:val="2"/>
          <w:numId w:val="17"/>
        </w:numPr>
        <w:spacing w:after="0" w:line="276" w:lineRule="auto"/>
        <w:ind w:left="1134" w:hanging="425"/>
        <w:jc w:val="both"/>
        <w:rPr>
          <w:rFonts w:ascii="Arial" w:hAnsi="Arial" w:cs="Arial"/>
          <w:sz w:val="20"/>
          <w:szCs w:val="22"/>
          <w:lang w:val="es-ES"/>
        </w:rPr>
      </w:pPr>
      <w:r w:rsidRPr="00D61EE0">
        <w:rPr>
          <w:rFonts w:ascii="Arial" w:hAnsi="Arial" w:cs="Arial"/>
          <w:sz w:val="20"/>
          <w:szCs w:val="22"/>
          <w:lang w:val="es-ES"/>
        </w:rPr>
        <w:t xml:space="preserve">3 usuarios con rol de Administrador </w:t>
      </w:r>
      <w:r w:rsidR="00EB68BE">
        <w:rPr>
          <w:rFonts w:ascii="Arial" w:hAnsi="Arial" w:cs="Arial"/>
          <w:sz w:val="20"/>
          <w:szCs w:val="22"/>
          <w:lang w:val="es-ES"/>
        </w:rPr>
        <w:t>Participante</w:t>
      </w:r>
      <w:r w:rsidRPr="00D61EE0">
        <w:rPr>
          <w:rFonts w:ascii="Arial" w:hAnsi="Arial" w:cs="Arial"/>
          <w:sz w:val="20"/>
          <w:szCs w:val="22"/>
          <w:lang w:val="es-ES"/>
        </w:rPr>
        <w:t xml:space="preserve"> </w:t>
      </w:r>
    </w:p>
    <w:p w14:paraId="7F1CFE19" w14:textId="5A4401DE" w:rsidR="007652C2" w:rsidRPr="00D61EE0" w:rsidRDefault="00D61EE0" w:rsidP="00D2510A">
      <w:pPr>
        <w:pStyle w:val="Textoindependiente"/>
        <w:numPr>
          <w:ilvl w:val="2"/>
          <w:numId w:val="17"/>
        </w:numPr>
        <w:spacing w:after="0" w:line="276" w:lineRule="auto"/>
        <w:ind w:left="1134" w:hanging="425"/>
        <w:jc w:val="both"/>
        <w:rPr>
          <w:rFonts w:ascii="Arial" w:hAnsi="Arial" w:cs="Arial"/>
          <w:sz w:val="20"/>
          <w:szCs w:val="22"/>
          <w:lang w:val="es-ES"/>
        </w:rPr>
      </w:pPr>
      <w:r>
        <w:rPr>
          <w:rFonts w:ascii="Arial" w:hAnsi="Arial" w:cs="Arial"/>
          <w:sz w:val="20"/>
          <w:szCs w:val="22"/>
          <w:lang w:val="es-ES"/>
        </w:rPr>
        <w:t xml:space="preserve">2 con rol de Registrador </w:t>
      </w:r>
      <w:r w:rsidR="00EB68BE">
        <w:rPr>
          <w:rFonts w:ascii="Arial" w:hAnsi="Arial" w:cs="Arial"/>
          <w:sz w:val="20"/>
          <w:szCs w:val="22"/>
          <w:lang w:val="es-ES"/>
        </w:rPr>
        <w:t>Participante</w:t>
      </w:r>
      <w:r w:rsidR="007652C2" w:rsidRPr="00D61EE0">
        <w:rPr>
          <w:rFonts w:ascii="Arial" w:hAnsi="Arial" w:cs="Arial"/>
          <w:sz w:val="20"/>
          <w:szCs w:val="22"/>
          <w:lang w:val="es-ES"/>
        </w:rPr>
        <w:t xml:space="preserve"> </w:t>
      </w:r>
    </w:p>
    <w:p w14:paraId="164CEF68" w14:textId="288CE407" w:rsidR="007652C2" w:rsidRPr="00D61EE0" w:rsidRDefault="00D61EE0" w:rsidP="00D2510A">
      <w:pPr>
        <w:pStyle w:val="Textoindependiente"/>
        <w:numPr>
          <w:ilvl w:val="2"/>
          <w:numId w:val="17"/>
        </w:numPr>
        <w:spacing w:after="0" w:line="276" w:lineRule="auto"/>
        <w:ind w:left="1134" w:hanging="425"/>
        <w:jc w:val="both"/>
        <w:rPr>
          <w:rFonts w:ascii="Arial" w:hAnsi="Arial" w:cs="Arial"/>
          <w:sz w:val="20"/>
          <w:szCs w:val="22"/>
          <w:lang w:val="es-ES"/>
        </w:rPr>
      </w:pPr>
      <w:r>
        <w:rPr>
          <w:rFonts w:ascii="Arial" w:hAnsi="Arial" w:cs="Arial"/>
          <w:sz w:val="20"/>
          <w:szCs w:val="22"/>
          <w:lang w:val="es-ES"/>
        </w:rPr>
        <w:t xml:space="preserve">2 con rol de Autorizador </w:t>
      </w:r>
      <w:r w:rsidR="00EB68BE">
        <w:rPr>
          <w:rFonts w:ascii="Arial" w:hAnsi="Arial" w:cs="Arial"/>
          <w:sz w:val="20"/>
          <w:szCs w:val="22"/>
          <w:lang w:val="es-ES"/>
        </w:rPr>
        <w:t>Participante</w:t>
      </w:r>
      <w:r w:rsidR="007652C2" w:rsidRPr="00D61EE0">
        <w:rPr>
          <w:rFonts w:ascii="Arial" w:hAnsi="Arial" w:cs="Arial"/>
          <w:sz w:val="20"/>
          <w:szCs w:val="22"/>
          <w:lang w:val="es-ES"/>
        </w:rPr>
        <w:t xml:space="preserve"> </w:t>
      </w:r>
    </w:p>
    <w:p w14:paraId="20893908" w14:textId="764A92C1" w:rsidR="007652C2" w:rsidRDefault="00D61EE0" w:rsidP="00D2510A">
      <w:pPr>
        <w:pStyle w:val="Textoindependiente"/>
        <w:numPr>
          <w:ilvl w:val="2"/>
          <w:numId w:val="17"/>
        </w:numPr>
        <w:spacing w:after="0" w:line="276" w:lineRule="auto"/>
        <w:ind w:left="1134" w:hanging="425"/>
        <w:jc w:val="both"/>
        <w:rPr>
          <w:rFonts w:ascii="Arial" w:hAnsi="Arial" w:cs="Arial"/>
          <w:sz w:val="20"/>
          <w:szCs w:val="22"/>
          <w:lang w:val="es-ES"/>
        </w:rPr>
      </w:pPr>
      <w:r>
        <w:rPr>
          <w:rFonts w:ascii="Arial" w:hAnsi="Arial" w:cs="Arial"/>
          <w:sz w:val="20"/>
          <w:szCs w:val="22"/>
          <w:lang w:val="es-ES"/>
        </w:rPr>
        <w:t>2 con rol de C</w:t>
      </w:r>
      <w:r w:rsidR="007652C2" w:rsidRPr="00D61EE0">
        <w:rPr>
          <w:rFonts w:ascii="Arial" w:hAnsi="Arial" w:cs="Arial"/>
          <w:sz w:val="20"/>
          <w:szCs w:val="22"/>
          <w:lang w:val="es-ES"/>
        </w:rPr>
        <w:t xml:space="preserve">onsulta </w:t>
      </w:r>
      <w:r w:rsidR="00EB68BE">
        <w:rPr>
          <w:rFonts w:ascii="Arial" w:hAnsi="Arial" w:cs="Arial"/>
          <w:sz w:val="20"/>
          <w:szCs w:val="22"/>
          <w:lang w:val="es-ES"/>
        </w:rPr>
        <w:t>Participante</w:t>
      </w:r>
    </w:p>
    <w:p w14:paraId="39EE9129" w14:textId="77777777" w:rsidR="00D270B5" w:rsidRPr="00D61EE0" w:rsidRDefault="00D270B5" w:rsidP="00C82DD1">
      <w:pPr>
        <w:pStyle w:val="Textoindependiente"/>
        <w:spacing w:after="0" w:line="276" w:lineRule="auto"/>
        <w:ind w:left="1424"/>
        <w:jc w:val="both"/>
        <w:rPr>
          <w:rFonts w:ascii="Arial" w:hAnsi="Arial" w:cs="Arial"/>
          <w:sz w:val="20"/>
          <w:szCs w:val="22"/>
          <w:lang w:val="es-ES"/>
        </w:rPr>
      </w:pPr>
    </w:p>
    <w:p w14:paraId="4B5DAFFD" w14:textId="0C28B067" w:rsidR="007652C2" w:rsidRPr="00D61EE0" w:rsidRDefault="007652C2" w:rsidP="00D270B5">
      <w:pPr>
        <w:pStyle w:val="Textoindependiente"/>
        <w:spacing w:line="276" w:lineRule="auto"/>
        <w:rPr>
          <w:rFonts w:ascii="Arial" w:hAnsi="Arial" w:cs="Arial"/>
          <w:sz w:val="20"/>
          <w:szCs w:val="22"/>
          <w:lang w:val="es-ES"/>
        </w:rPr>
      </w:pPr>
      <w:r w:rsidRPr="00D61EE0">
        <w:rPr>
          <w:rFonts w:ascii="Arial" w:hAnsi="Arial" w:cs="Arial"/>
          <w:sz w:val="20"/>
          <w:szCs w:val="22"/>
          <w:lang w:val="es-ES"/>
        </w:rPr>
        <w:t xml:space="preserve">Cualquier usuario adicional que requiera el </w:t>
      </w:r>
      <w:r w:rsidR="00EB68BE">
        <w:rPr>
          <w:rFonts w:ascii="Arial" w:hAnsi="Arial" w:cs="Arial"/>
          <w:sz w:val="20"/>
          <w:szCs w:val="22"/>
          <w:lang w:val="es-ES"/>
        </w:rPr>
        <w:t>Participante</w:t>
      </w:r>
      <w:r w:rsidRPr="00D61EE0">
        <w:rPr>
          <w:rFonts w:ascii="Arial" w:hAnsi="Arial" w:cs="Arial"/>
          <w:sz w:val="20"/>
          <w:szCs w:val="22"/>
          <w:lang w:val="es-ES"/>
        </w:rPr>
        <w:t xml:space="preserve">, deberá asumir </w:t>
      </w:r>
      <w:r w:rsidR="00FF5E51">
        <w:rPr>
          <w:rFonts w:ascii="Arial" w:hAnsi="Arial" w:cs="Arial"/>
          <w:sz w:val="20"/>
          <w:szCs w:val="22"/>
          <w:lang w:val="es-ES"/>
        </w:rPr>
        <w:t>sus</w:t>
      </w:r>
      <w:r w:rsidRPr="00D61EE0">
        <w:rPr>
          <w:rFonts w:ascii="Arial" w:hAnsi="Arial" w:cs="Arial"/>
          <w:sz w:val="20"/>
          <w:szCs w:val="22"/>
          <w:lang w:val="es-ES"/>
        </w:rPr>
        <w:t xml:space="preserve"> costos relacionados</w:t>
      </w:r>
      <w:r w:rsidR="00FF5E51">
        <w:rPr>
          <w:rFonts w:ascii="Arial" w:hAnsi="Arial" w:cs="Arial"/>
          <w:sz w:val="20"/>
          <w:szCs w:val="22"/>
          <w:lang w:val="es-ES"/>
        </w:rPr>
        <w:t>.</w:t>
      </w:r>
      <w:r w:rsidRPr="00D61EE0">
        <w:rPr>
          <w:rFonts w:ascii="Arial" w:hAnsi="Arial" w:cs="Arial"/>
          <w:sz w:val="20"/>
          <w:szCs w:val="22"/>
          <w:lang w:val="es-ES"/>
        </w:rPr>
        <w:t xml:space="preserve"> </w:t>
      </w:r>
    </w:p>
    <w:p w14:paraId="05964FB5" w14:textId="5CEF1E72" w:rsidR="000E1F07" w:rsidRPr="00D270B5" w:rsidRDefault="007652C2" w:rsidP="00D270B5">
      <w:pPr>
        <w:pStyle w:val="Textoindependiente"/>
        <w:spacing w:after="0" w:line="276" w:lineRule="auto"/>
        <w:jc w:val="both"/>
        <w:rPr>
          <w:rFonts w:ascii="Arial" w:hAnsi="Arial" w:cs="Arial"/>
          <w:sz w:val="20"/>
          <w:szCs w:val="22"/>
          <w:lang w:val="es-ES"/>
        </w:rPr>
      </w:pPr>
      <w:r w:rsidRPr="00D61EE0">
        <w:rPr>
          <w:rFonts w:ascii="Arial" w:hAnsi="Arial" w:cs="Arial"/>
          <w:sz w:val="20"/>
          <w:szCs w:val="22"/>
          <w:lang w:val="es-ES"/>
        </w:rPr>
        <w:t xml:space="preserve">Las opciones en los módulos </w:t>
      </w:r>
      <w:r w:rsidR="00A07E88">
        <w:rPr>
          <w:rFonts w:ascii="Arial" w:hAnsi="Arial" w:cs="Arial"/>
          <w:sz w:val="20"/>
          <w:szCs w:val="22"/>
          <w:lang w:val="es-ES"/>
        </w:rPr>
        <w:t>Transfer365</w:t>
      </w:r>
      <w:r w:rsidRPr="00D61EE0">
        <w:rPr>
          <w:rFonts w:ascii="Arial" w:hAnsi="Arial" w:cs="Arial"/>
          <w:sz w:val="20"/>
          <w:szCs w:val="22"/>
          <w:lang w:val="es-ES"/>
        </w:rPr>
        <w:t xml:space="preserve"> y PO de los roles se detallan a continuación:</w:t>
      </w:r>
    </w:p>
    <w:tbl>
      <w:tblPr>
        <w:tblpPr w:leftFromText="137" w:rightFromText="137" w:vertAnchor="text"/>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5"/>
        <w:gridCol w:w="2518"/>
        <w:gridCol w:w="2112"/>
        <w:gridCol w:w="1465"/>
        <w:gridCol w:w="1467"/>
      </w:tblGrid>
      <w:tr w:rsidR="000E1F07" w:rsidRPr="00FC1687" w14:paraId="62E03026" w14:textId="77777777" w:rsidTr="00D3611D">
        <w:trPr>
          <w:trHeight w:val="284"/>
        </w:trPr>
        <w:tc>
          <w:tcPr>
            <w:tcW w:w="1985" w:type="dxa"/>
            <w:vMerge w:val="restart"/>
            <w:shd w:val="clear" w:color="auto" w:fill="D9D9D9" w:themeFill="background1" w:themeFillShade="D9"/>
            <w:tcMar>
              <w:top w:w="0" w:type="dxa"/>
              <w:left w:w="108" w:type="dxa"/>
              <w:bottom w:w="0" w:type="dxa"/>
              <w:right w:w="108" w:type="dxa"/>
            </w:tcMar>
          </w:tcPr>
          <w:p w14:paraId="727C82DB" w14:textId="77777777" w:rsidR="000E1F07" w:rsidRPr="00FC1687" w:rsidRDefault="000E1F07">
            <w:pPr>
              <w:pStyle w:val="Textoindependiente"/>
              <w:spacing w:line="276" w:lineRule="auto"/>
              <w:jc w:val="center"/>
              <w:rPr>
                <w:rFonts w:ascii="Arial" w:hAnsi="Arial" w:cs="Arial"/>
                <w:b/>
                <w:bCs/>
                <w:sz w:val="16"/>
                <w:lang w:val="es-ES"/>
              </w:rPr>
            </w:pPr>
          </w:p>
          <w:p w14:paraId="2DB4FCED" w14:textId="77777777" w:rsidR="000E1F07" w:rsidRPr="00FC1687" w:rsidRDefault="000E1F07">
            <w:pPr>
              <w:pStyle w:val="Textoindependiente"/>
              <w:spacing w:line="276" w:lineRule="auto"/>
              <w:jc w:val="center"/>
              <w:rPr>
                <w:rFonts w:ascii="Arial" w:hAnsi="Arial" w:cs="Arial"/>
                <w:b/>
                <w:bCs/>
                <w:sz w:val="16"/>
                <w:lang w:val="es-ES"/>
              </w:rPr>
            </w:pPr>
            <w:r w:rsidRPr="00FC1687">
              <w:rPr>
                <w:rFonts w:ascii="Arial" w:hAnsi="Arial" w:cs="Arial"/>
                <w:b/>
                <w:bCs/>
                <w:sz w:val="16"/>
                <w:lang w:val="es-ES"/>
              </w:rPr>
              <w:t>Nombre del Rol</w:t>
            </w:r>
          </w:p>
        </w:tc>
        <w:tc>
          <w:tcPr>
            <w:tcW w:w="4630" w:type="dxa"/>
            <w:gridSpan w:val="2"/>
            <w:shd w:val="clear" w:color="auto" w:fill="D9D9D9" w:themeFill="background1" w:themeFillShade="D9"/>
            <w:tcMar>
              <w:top w:w="0" w:type="dxa"/>
              <w:left w:w="108" w:type="dxa"/>
              <w:bottom w:w="0" w:type="dxa"/>
              <w:right w:w="108" w:type="dxa"/>
            </w:tcMar>
            <w:vAlign w:val="center"/>
            <w:hideMark/>
          </w:tcPr>
          <w:p w14:paraId="1357E332" w14:textId="77777777" w:rsidR="000E1F07" w:rsidRPr="00FC1687" w:rsidRDefault="000E1F07" w:rsidP="00D3611D">
            <w:pPr>
              <w:pStyle w:val="Textoindependiente"/>
              <w:spacing w:after="0"/>
              <w:jc w:val="center"/>
              <w:rPr>
                <w:rFonts w:ascii="Arial" w:hAnsi="Arial" w:cs="Arial"/>
                <w:b/>
                <w:bCs/>
                <w:sz w:val="16"/>
                <w:lang w:val="es-ES"/>
              </w:rPr>
            </w:pPr>
            <w:r w:rsidRPr="00FC1687">
              <w:rPr>
                <w:rFonts w:ascii="Arial" w:hAnsi="Arial" w:cs="Arial"/>
                <w:b/>
                <w:bCs/>
                <w:sz w:val="16"/>
                <w:lang w:val="es-ES"/>
              </w:rPr>
              <w:t>Descripción de funciones</w:t>
            </w:r>
          </w:p>
        </w:tc>
        <w:tc>
          <w:tcPr>
            <w:tcW w:w="2932" w:type="dxa"/>
            <w:gridSpan w:val="2"/>
            <w:shd w:val="clear" w:color="auto" w:fill="D9D9D9" w:themeFill="background1" w:themeFillShade="D9"/>
            <w:tcMar>
              <w:top w:w="0" w:type="dxa"/>
              <w:left w:w="108" w:type="dxa"/>
              <w:bottom w:w="0" w:type="dxa"/>
              <w:right w:w="108" w:type="dxa"/>
            </w:tcMar>
            <w:vAlign w:val="center"/>
            <w:hideMark/>
          </w:tcPr>
          <w:p w14:paraId="2DB3B980" w14:textId="23603EB5" w:rsidR="000E1F07" w:rsidRPr="00FC1687" w:rsidRDefault="000E1F07" w:rsidP="00D3611D">
            <w:pPr>
              <w:pStyle w:val="Textoindependiente"/>
              <w:spacing w:after="0"/>
              <w:jc w:val="center"/>
              <w:rPr>
                <w:rFonts w:ascii="Arial" w:hAnsi="Arial" w:cs="Arial"/>
                <w:sz w:val="16"/>
                <w:lang w:val="es-ES"/>
              </w:rPr>
            </w:pPr>
            <w:r w:rsidRPr="00FC1687">
              <w:rPr>
                <w:rFonts w:ascii="Arial" w:hAnsi="Arial" w:cs="Arial"/>
                <w:b/>
                <w:bCs/>
                <w:sz w:val="16"/>
                <w:lang w:val="es-ES"/>
              </w:rPr>
              <w:t>Equivalencia de Perfiles en los Módulos</w:t>
            </w:r>
          </w:p>
        </w:tc>
      </w:tr>
      <w:tr w:rsidR="007652C2" w:rsidRPr="00FC1687" w14:paraId="197E9A90" w14:textId="77777777" w:rsidTr="00D3611D">
        <w:trPr>
          <w:trHeight w:val="284"/>
        </w:trPr>
        <w:tc>
          <w:tcPr>
            <w:tcW w:w="0" w:type="auto"/>
            <w:vMerge/>
            <w:shd w:val="clear" w:color="auto" w:fill="D9D9D9" w:themeFill="background1" w:themeFillShade="D9"/>
            <w:vAlign w:val="center"/>
            <w:hideMark/>
          </w:tcPr>
          <w:p w14:paraId="4DA41B0A" w14:textId="77777777" w:rsidR="000E1F07" w:rsidRPr="00FC1687" w:rsidRDefault="000E1F07">
            <w:pPr>
              <w:rPr>
                <w:rFonts w:ascii="Arial" w:eastAsiaTheme="minorHAnsi" w:hAnsi="Arial" w:cs="Arial"/>
                <w:b/>
                <w:bCs/>
                <w:sz w:val="16"/>
                <w:lang w:val="es-ES"/>
              </w:rPr>
            </w:pPr>
          </w:p>
        </w:tc>
        <w:tc>
          <w:tcPr>
            <w:tcW w:w="2518" w:type="dxa"/>
            <w:shd w:val="clear" w:color="auto" w:fill="D9D9D9" w:themeFill="background1" w:themeFillShade="D9"/>
            <w:tcMar>
              <w:top w:w="0" w:type="dxa"/>
              <w:left w:w="108" w:type="dxa"/>
              <w:bottom w:w="0" w:type="dxa"/>
              <w:right w:w="108" w:type="dxa"/>
            </w:tcMar>
            <w:vAlign w:val="center"/>
            <w:hideMark/>
          </w:tcPr>
          <w:p w14:paraId="2BAE246D" w14:textId="3876C1D4" w:rsidR="000E1F07" w:rsidRPr="00FC1687" w:rsidRDefault="003C5BA0" w:rsidP="00D3611D">
            <w:pPr>
              <w:pStyle w:val="Textoindependiente"/>
              <w:spacing w:after="0"/>
              <w:jc w:val="center"/>
              <w:rPr>
                <w:rFonts w:ascii="Arial" w:hAnsi="Arial" w:cs="Arial"/>
                <w:b/>
                <w:bCs/>
                <w:sz w:val="16"/>
                <w:lang w:val="es-ES"/>
              </w:rPr>
            </w:pPr>
            <w:r>
              <w:rPr>
                <w:rFonts w:ascii="Arial" w:hAnsi="Arial" w:cs="Arial"/>
                <w:b/>
                <w:bCs/>
                <w:sz w:val="16"/>
                <w:lang w:val="es-ES"/>
              </w:rPr>
              <w:t>Transfer365</w:t>
            </w:r>
          </w:p>
        </w:tc>
        <w:tc>
          <w:tcPr>
            <w:tcW w:w="2112" w:type="dxa"/>
            <w:shd w:val="clear" w:color="auto" w:fill="D9D9D9" w:themeFill="background1" w:themeFillShade="D9"/>
            <w:tcMar>
              <w:top w:w="0" w:type="dxa"/>
              <w:left w:w="108" w:type="dxa"/>
              <w:bottom w:w="0" w:type="dxa"/>
              <w:right w:w="108" w:type="dxa"/>
            </w:tcMar>
            <w:vAlign w:val="center"/>
            <w:hideMark/>
          </w:tcPr>
          <w:p w14:paraId="52B8429D" w14:textId="77777777" w:rsidR="000E1F07" w:rsidRPr="00FC1687" w:rsidRDefault="000E1F07" w:rsidP="00D3611D">
            <w:pPr>
              <w:pStyle w:val="Textoindependiente"/>
              <w:spacing w:after="0"/>
              <w:jc w:val="center"/>
              <w:rPr>
                <w:rFonts w:ascii="Arial" w:hAnsi="Arial" w:cs="Arial"/>
                <w:b/>
                <w:bCs/>
                <w:sz w:val="16"/>
                <w:lang w:val="es-ES"/>
              </w:rPr>
            </w:pPr>
            <w:r w:rsidRPr="00FC1687">
              <w:rPr>
                <w:rFonts w:ascii="Arial" w:hAnsi="Arial" w:cs="Arial"/>
                <w:b/>
                <w:bCs/>
                <w:sz w:val="16"/>
                <w:lang w:val="es-ES"/>
              </w:rPr>
              <w:t>PO</w:t>
            </w:r>
          </w:p>
        </w:tc>
        <w:tc>
          <w:tcPr>
            <w:tcW w:w="1465" w:type="dxa"/>
            <w:shd w:val="clear" w:color="auto" w:fill="D9D9D9" w:themeFill="background1" w:themeFillShade="D9"/>
            <w:tcMar>
              <w:top w:w="0" w:type="dxa"/>
              <w:left w:w="108" w:type="dxa"/>
              <w:bottom w:w="0" w:type="dxa"/>
              <w:right w:w="108" w:type="dxa"/>
            </w:tcMar>
            <w:vAlign w:val="center"/>
            <w:hideMark/>
          </w:tcPr>
          <w:p w14:paraId="01E052C9" w14:textId="55D76651" w:rsidR="000E1F07" w:rsidRPr="00FC1687" w:rsidRDefault="003C5BA0" w:rsidP="00D3611D">
            <w:pPr>
              <w:pStyle w:val="Textoindependiente"/>
              <w:spacing w:after="0"/>
              <w:jc w:val="center"/>
              <w:rPr>
                <w:rFonts w:ascii="Arial" w:hAnsi="Arial" w:cs="Arial"/>
                <w:b/>
                <w:bCs/>
                <w:sz w:val="16"/>
                <w:lang w:val="es-ES"/>
              </w:rPr>
            </w:pPr>
            <w:r>
              <w:rPr>
                <w:rFonts w:ascii="Arial" w:hAnsi="Arial" w:cs="Arial"/>
                <w:b/>
                <w:bCs/>
                <w:sz w:val="16"/>
                <w:lang w:val="es-ES"/>
              </w:rPr>
              <w:t>Transfer365</w:t>
            </w:r>
          </w:p>
        </w:tc>
        <w:tc>
          <w:tcPr>
            <w:tcW w:w="1467" w:type="dxa"/>
            <w:shd w:val="clear" w:color="auto" w:fill="D9D9D9" w:themeFill="background1" w:themeFillShade="D9"/>
            <w:tcMar>
              <w:top w:w="0" w:type="dxa"/>
              <w:left w:w="108" w:type="dxa"/>
              <w:bottom w:w="0" w:type="dxa"/>
              <w:right w:w="108" w:type="dxa"/>
            </w:tcMar>
            <w:vAlign w:val="center"/>
            <w:hideMark/>
          </w:tcPr>
          <w:p w14:paraId="15D4A304" w14:textId="77777777" w:rsidR="000E1F07" w:rsidRPr="00FC1687" w:rsidRDefault="000E1F07" w:rsidP="00D3611D">
            <w:pPr>
              <w:pStyle w:val="Textoindependiente"/>
              <w:spacing w:after="0"/>
              <w:jc w:val="center"/>
              <w:rPr>
                <w:rFonts w:ascii="Arial" w:hAnsi="Arial" w:cs="Arial"/>
                <w:b/>
                <w:bCs/>
                <w:sz w:val="16"/>
                <w:lang w:val="es-ES"/>
              </w:rPr>
            </w:pPr>
            <w:r w:rsidRPr="00FC1687">
              <w:rPr>
                <w:rFonts w:ascii="Arial" w:hAnsi="Arial" w:cs="Arial"/>
                <w:b/>
                <w:bCs/>
                <w:sz w:val="16"/>
                <w:lang w:val="es-ES"/>
              </w:rPr>
              <w:t>PO</w:t>
            </w:r>
          </w:p>
        </w:tc>
      </w:tr>
      <w:tr w:rsidR="007652C2" w:rsidRPr="00FC1687" w14:paraId="1A689F4E" w14:textId="77777777" w:rsidTr="00D3611D">
        <w:trPr>
          <w:trHeight w:val="284"/>
        </w:trPr>
        <w:tc>
          <w:tcPr>
            <w:tcW w:w="1985" w:type="dxa"/>
            <w:tcMar>
              <w:top w:w="0" w:type="dxa"/>
              <w:left w:w="108" w:type="dxa"/>
              <w:bottom w:w="0" w:type="dxa"/>
              <w:right w:w="108" w:type="dxa"/>
            </w:tcMar>
            <w:vAlign w:val="center"/>
            <w:hideMark/>
          </w:tcPr>
          <w:p w14:paraId="28FC4315" w14:textId="09E7EF40" w:rsidR="000E1F07" w:rsidRPr="00FC1687" w:rsidRDefault="00D3611D" w:rsidP="0038600C">
            <w:pPr>
              <w:pStyle w:val="Textoindependiente"/>
              <w:spacing w:line="276" w:lineRule="auto"/>
              <w:jc w:val="center"/>
              <w:rPr>
                <w:rFonts w:ascii="Arial" w:hAnsi="Arial" w:cs="Arial"/>
                <w:b/>
                <w:bCs/>
                <w:sz w:val="16"/>
                <w:lang w:val="es-ES"/>
              </w:rPr>
            </w:pPr>
            <w:r>
              <w:rPr>
                <w:rFonts w:ascii="Arial" w:hAnsi="Arial" w:cs="Arial"/>
                <w:b/>
                <w:bCs/>
                <w:sz w:val="16"/>
                <w:lang w:val="es-ES"/>
              </w:rPr>
              <w:t xml:space="preserve">Gateway </w:t>
            </w:r>
            <w:r w:rsidR="0038600C">
              <w:rPr>
                <w:rFonts w:ascii="Arial" w:hAnsi="Arial" w:cs="Arial"/>
                <w:b/>
                <w:bCs/>
                <w:sz w:val="16"/>
                <w:lang w:val="es-ES"/>
              </w:rPr>
              <w:t xml:space="preserve">    </w:t>
            </w:r>
            <w:r w:rsidR="00EB68BE">
              <w:rPr>
                <w:rFonts w:ascii="Arial" w:hAnsi="Arial" w:cs="Arial"/>
                <w:b/>
                <w:bCs/>
                <w:sz w:val="16"/>
                <w:lang w:val="es-ES"/>
              </w:rPr>
              <w:t>Participante</w:t>
            </w:r>
          </w:p>
        </w:tc>
        <w:tc>
          <w:tcPr>
            <w:tcW w:w="2518" w:type="dxa"/>
            <w:tcMar>
              <w:top w:w="0" w:type="dxa"/>
              <w:left w:w="108" w:type="dxa"/>
              <w:bottom w:w="0" w:type="dxa"/>
              <w:right w:w="108" w:type="dxa"/>
            </w:tcMar>
            <w:vAlign w:val="center"/>
            <w:hideMark/>
          </w:tcPr>
          <w:p w14:paraId="70A63C04" w14:textId="17074082" w:rsidR="000E1F07" w:rsidRPr="00FC1687" w:rsidRDefault="000E1F07" w:rsidP="000E1F07">
            <w:pPr>
              <w:pStyle w:val="Textoindependiente"/>
              <w:jc w:val="both"/>
              <w:rPr>
                <w:rFonts w:ascii="Arial" w:hAnsi="Arial" w:cs="Arial"/>
                <w:color w:val="000000"/>
                <w:sz w:val="16"/>
                <w:lang w:val="es-SV"/>
              </w:rPr>
            </w:pPr>
            <w:r w:rsidRPr="00FC1687">
              <w:rPr>
                <w:rFonts w:ascii="Arial" w:hAnsi="Arial" w:cs="Arial"/>
                <w:sz w:val="16"/>
                <w:lang w:val="es-ES"/>
              </w:rPr>
              <w:t xml:space="preserve">Descargar el Gateway del </w:t>
            </w:r>
            <w:r w:rsidR="00EB68BE">
              <w:rPr>
                <w:rFonts w:ascii="Arial" w:hAnsi="Arial" w:cs="Arial"/>
                <w:sz w:val="16"/>
                <w:lang w:val="es-ES"/>
              </w:rPr>
              <w:t>Participante</w:t>
            </w:r>
          </w:p>
        </w:tc>
        <w:tc>
          <w:tcPr>
            <w:tcW w:w="2112" w:type="dxa"/>
            <w:tcMar>
              <w:top w:w="0" w:type="dxa"/>
              <w:left w:w="108" w:type="dxa"/>
              <w:bottom w:w="0" w:type="dxa"/>
              <w:right w:w="108" w:type="dxa"/>
            </w:tcMar>
            <w:vAlign w:val="center"/>
            <w:hideMark/>
          </w:tcPr>
          <w:p w14:paraId="345958EB" w14:textId="6A496B00" w:rsidR="000E1F07" w:rsidRPr="00FC1687" w:rsidRDefault="007652C2" w:rsidP="007652C2">
            <w:pPr>
              <w:pStyle w:val="Textoindependiente"/>
              <w:jc w:val="center"/>
              <w:rPr>
                <w:rFonts w:ascii="Arial" w:hAnsi="Arial" w:cs="Arial"/>
                <w:sz w:val="16"/>
                <w:lang w:val="es-ES"/>
              </w:rPr>
            </w:pPr>
            <w:r w:rsidRPr="00FC1687">
              <w:rPr>
                <w:rFonts w:ascii="Arial" w:hAnsi="Arial" w:cs="Arial"/>
                <w:sz w:val="16"/>
                <w:lang w:val="es-ES"/>
              </w:rPr>
              <w:t>N/A</w:t>
            </w:r>
          </w:p>
        </w:tc>
        <w:tc>
          <w:tcPr>
            <w:tcW w:w="1465" w:type="dxa"/>
            <w:tcMar>
              <w:top w:w="0" w:type="dxa"/>
              <w:left w:w="108" w:type="dxa"/>
              <w:bottom w:w="0" w:type="dxa"/>
              <w:right w:w="108" w:type="dxa"/>
            </w:tcMar>
            <w:vAlign w:val="center"/>
            <w:hideMark/>
          </w:tcPr>
          <w:p w14:paraId="62B505C3" w14:textId="6F217895" w:rsidR="000E1F07" w:rsidRPr="00FC1687" w:rsidRDefault="00A31458">
            <w:pPr>
              <w:pStyle w:val="Textoindependiente"/>
              <w:spacing w:line="276" w:lineRule="auto"/>
              <w:jc w:val="center"/>
              <w:rPr>
                <w:rFonts w:ascii="Arial" w:hAnsi="Arial" w:cs="Arial"/>
                <w:sz w:val="16"/>
                <w:lang w:val="es-ES"/>
              </w:rPr>
            </w:pPr>
            <w:r w:rsidRPr="00FC1687">
              <w:rPr>
                <w:rFonts w:ascii="Arial" w:hAnsi="Arial" w:cs="Arial"/>
                <w:sz w:val="16"/>
                <w:lang w:val="es-ES"/>
              </w:rPr>
              <w:t xml:space="preserve">Gateway </w:t>
            </w:r>
            <w:r w:rsidR="00EB68BE">
              <w:rPr>
                <w:rFonts w:ascii="Arial" w:hAnsi="Arial" w:cs="Arial"/>
                <w:sz w:val="16"/>
                <w:lang w:val="es-ES"/>
              </w:rPr>
              <w:t>Participante</w:t>
            </w:r>
          </w:p>
        </w:tc>
        <w:tc>
          <w:tcPr>
            <w:tcW w:w="1467" w:type="dxa"/>
            <w:tcMar>
              <w:top w:w="0" w:type="dxa"/>
              <w:left w:w="108" w:type="dxa"/>
              <w:bottom w:w="0" w:type="dxa"/>
              <w:right w:w="108" w:type="dxa"/>
            </w:tcMar>
            <w:vAlign w:val="center"/>
            <w:hideMark/>
          </w:tcPr>
          <w:p w14:paraId="55AAF43D" w14:textId="754D7281" w:rsidR="000E1F07" w:rsidRPr="00FC1687" w:rsidRDefault="007652C2">
            <w:pPr>
              <w:pStyle w:val="Textoindependiente"/>
              <w:spacing w:line="276" w:lineRule="auto"/>
              <w:jc w:val="center"/>
              <w:rPr>
                <w:rFonts w:ascii="Arial" w:hAnsi="Arial" w:cs="Arial"/>
                <w:sz w:val="16"/>
                <w:lang w:val="es-ES"/>
              </w:rPr>
            </w:pPr>
            <w:r w:rsidRPr="00FC1687">
              <w:rPr>
                <w:rFonts w:ascii="Arial" w:hAnsi="Arial" w:cs="Arial"/>
                <w:sz w:val="16"/>
                <w:lang w:val="es-ES"/>
              </w:rPr>
              <w:t>N/A</w:t>
            </w:r>
          </w:p>
        </w:tc>
      </w:tr>
      <w:tr w:rsidR="007652C2" w:rsidRPr="00FC1687" w14:paraId="1EBFD4B0" w14:textId="77777777" w:rsidTr="00D3611D">
        <w:trPr>
          <w:trHeight w:val="284"/>
        </w:trPr>
        <w:tc>
          <w:tcPr>
            <w:tcW w:w="1985" w:type="dxa"/>
            <w:tcMar>
              <w:top w:w="0" w:type="dxa"/>
              <w:left w:w="108" w:type="dxa"/>
              <w:bottom w:w="0" w:type="dxa"/>
              <w:right w:w="108" w:type="dxa"/>
            </w:tcMar>
            <w:vAlign w:val="center"/>
            <w:hideMark/>
          </w:tcPr>
          <w:p w14:paraId="3AB43054" w14:textId="30A014BC" w:rsidR="000E1F07" w:rsidRPr="00FC1687" w:rsidRDefault="000E1F07" w:rsidP="00A319C9">
            <w:pPr>
              <w:pStyle w:val="Textoindependiente"/>
              <w:spacing w:line="276" w:lineRule="auto"/>
              <w:jc w:val="center"/>
              <w:rPr>
                <w:rFonts w:ascii="Arial" w:hAnsi="Arial" w:cs="Arial"/>
                <w:b/>
                <w:bCs/>
                <w:sz w:val="16"/>
                <w:lang w:val="es-ES"/>
              </w:rPr>
            </w:pPr>
            <w:r w:rsidRPr="00FC1687">
              <w:rPr>
                <w:rFonts w:ascii="Arial" w:hAnsi="Arial" w:cs="Arial"/>
                <w:b/>
                <w:bCs/>
                <w:sz w:val="16"/>
                <w:lang w:val="es-ES"/>
              </w:rPr>
              <w:t xml:space="preserve">Administrador </w:t>
            </w:r>
            <w:r w:rsidR="00EB68BE">
              <w:rPr>
                <w:rFonts w:ascii="Arial" w:hAnsi="Arial" w:cs="Arial"/>
                <w:b/>
                <w:bCs/>
                <w:sz w:val="16"/>
                <w:lang w:val="es-ES"/>
              </w:rPr>
              <w:t>Participante</w:t>
            </w:r>
          </w:p>
        </w:tc>
        <w:tc>
          <w:tcPr>
            <w:tcW w:w="2518" w:type="dxa"/>
            <w:tcMar>
              <w:top w:w="0" w:type="dxa"/>
              <w:left w:w="108" w:type="dxa"/>
              <w:bottom w:w="0" w:type="dxa"/>
              <w:right w:w="108" w:type="dxa"/>
            </w:tcMar>
            <w:vAlign w:val="center"/>
            <w:hideMark/>
          </w:tcPr>
          <w:p w14:paraId="2DAEDAD0" w14:textId="3E52C6CE" w:rsidR="000E1F07" w:rsidRPr="00FC1687" w:rsidRDefault="000E1F07" w:rsidP="000E1F07">
            <w:pPr>
              <w:pStyle w:val="Textoindependiente"/>
              <w:jc w:val="both"/>
              <w:rPr>
                <w:rFonts w:ascii="Arial" w:hAnsi="Arial" w:cs="Arial"/>
                <w:sz w:val="16"/>
                <w:lang w:val="es-ES"/>
              </w:rPr>
            </w:pPr>
            <w:r w:rsidRPr="00FC1687">
              <w:rPr>
                <w:rFonts w:ascii="Arial" w:hAnsi="Arial" w:cs="Arial"/>
                <w:sz w:val="16"/>
              </w:rPr>
              <w:t xml:space="preserve">Listar </w:t>
            </w:r>
            <w:r w:rsidRPr="00FC1687">
              <w:rPr>
                <w:rFonts w:ascii="Arial" w:hAnsi="Arial" w:cs="Arial"/>
                <w:sz w:val="16"/>
                <w:lang w:val="es-ES"/>
              </w:rPr>
              <w:t xml:space="preserve">mantenimientos, modificación de usuarios (Número telefónico, </w:t>
            </w:r>
            <w:r w:rsidR="00126293" w:rsidRPr="00FC1687">
              <w:rPr>
                <w:rFonts w:ascii="Arial" w:hAnsi="Arial" w:cs="Arial"/>
                <w:sz w:val="16"/>
                <w:lang w:val="es-ES"/>
              </w:rPr>
              <w:t>c</w:t>
            </w:r>
            <w:r w:rsidRPr="00FC1687">
              <w:rPr>
                <w:rFonts w:ascii="Arial" w:hAnsi="Arial" w:cs="Arial"/>
                <w:sz w:val="16"/>
                <w:lang w:val="es-ES"/>
              </w:rPr>
              <w:t xml:space="preserve">orreo electrónico, </w:t>
            </w:r>
            <w:r w:rsidR="00126293" w:rsidRPr="00FC1687">
              <w:rPr>
                <w:rFonts w:ascii="Arial" w:hAnsi="Arial" w:cs="Arial"/>
                <w:sz w:val="16"/>
                <w:lang w:val="es-ES"/>
              </w:rPr>
              <w:t>c</w:t>
            </w:r>
            <w:r w:rsidRPr="00FC1687">
              <w:rPr>
                <w:rFonts w:ascii="Arial" w:hAnsi="Arial" w:cs="Arial"/>
                <w:sz w:val="16"/>
                <w:lang w:val="es-ES"/>
              </w:rPr>
              <w:t xml:space="preserve">lave, </w:t>
            </w:r>
            <w:r w:rsidR="00126293" w:rsidRPr="00FC1687">
              <w:rPr>
                <w:rFonts w:ascii="Arial" w:hAnsi="Arial" w:cs="Arial"/>
                <w:sz w:val="16"/>
                <w:lang w:val="es-ES"/>
              </w:rPr>
              <w:t>v</w:t>
            </w:r>
            <w:r w:rsidRPr="00FC1687">
              <w:rPr>
                <w:rFonts w:ascii="Arial" w:hAnsi="Arial" w:cs="Arial"/>
                <w:sz w:val="16"/>
                <w:lang w:val="es-ES"/>
              </w:rPr>
              <w:t xml:space="preserve">erificar </w:t>
            </w:r>
            <w:r w:rsidR="00126293" w:rsidRPr="00FC1687">
              <w:rPr>
                <w:rFonts w:ascii="Arial" w:hAnsi="Arial" w:cs="Arial"/>
                <w:sz w:val="16"/>
                <w:lang w:val="es-ES"/>
              </w:rPr>
              <w:t>c</w:t>
            </w:r>
            <w:r w:rsidRPr="00FC1687">
              <w:rPr>
                <w:rFonts w:ascii="Arial" w:hAnsi="Arial" w:cs="Arial"/>
                <w:sz w:val="16"/>
                <w:lang w:val="es-ES"/>
              </w:rPr>
              <w:t xml:space="preserve">lave); así como acceso a consultas, reportes de operación </w:t>
            </w:r>
            <w:r w:rsidR="007E204A" w:rsidRPr="00FC1687">
              <w:rPr>
                <w:rFonts w:ascii="Arial" w:hAnsi="Arial" w:cs="Arial"/>
                <w:sz w:val="16"/>
                <w:lang w:val="es-ES"/>
              </w:rPr>
              <w:t xml:space="preserve">y </w:t>
            </w:r>
            <w:r w:rsidR="00126293" w:rsidRPr="00FC1687">
              <w:rPr>
                <w:rFonts w:ascii="Arial" w:hAnsi="Arial" w:cs="Arial"/>
                <w:sz w:val="16"/>
                <w:lang w:val="es-ES"/>
              </w:rPr>
              <w:t>m</w:t>
            </w:r>
            <w:r w:rsidR="007E204A" w:rsidRPr="00FC1687">
              <w:rPr>
                <w:rFonts w:ascii="Arial" w:hAnsi="Arial" w:cs="Arial"/>
                <w:sz w:val="16"/>
                <w:lang w:val="es-ES"/>
              </w:rPr>
              <w:t>onitor</w:t>
            </w:r>
            <w:r w:rsidRPr="00FC1687">
              <w:rPr>
                <w:rFonts w:ascii="Arial" w:hAnsi="Arial" w:cs="Arial"/>
                <w:sz w:val="16"/>
                <w:lang w:val="es-ES"/>
              </w:rPr>
              <w:t xml:space="preserve"> de</w:t>
            </w:r>
            <w:r w:rsidR="00A07E88">
              <w:rPr>
                <w:rFonts w:ascii="Arial" w:hAnsi="Arial" w:cs="Arial"/>
                <w:sz w:val="16"/>
                <w:lang w:val="es-ES"/>
              </w:rPr>
              <w:t>l</w:t>
            </w:r>
            <w:r w:rsidRPr="00FC1687">
              <w:rPr>
                <w:rFonts w:ascii="Arial" w:hAnsi="Arial" w:cs="Arial"/>
                <w:sz w:val="16"/>
                <w:lang w:val="es-ES"/>
              </w:rPr>
              <w:t xml:space="preserve"> </w:t>
            </w:r>
            <w:r w:rsidR="00A07E88">
              <w:rPr>
                <w:rFonts w:ascii="Arial" w:hAnsi="Arial" w:cs="Arial"/>
                <w:sz w:val="16"/>
                <w:lang w:val="es-ES"/>
              </w:rPr>
              <w:t>Transfer365</w:t>
            </w:r>
            <w:r w:rsidRPr="00FC1687">
              <w:rPr>
                <w:rFonts w:ascii="Arial" w:hAnsi="Arial" w:cs="Arial"/>
                <w:sz w:val="16"/>
                <w:lang w:val="es-ES"/>
              </w:rPr>
              <w:t xml:space="preserve">. </w:t>
            </w:r>
          </w:p>
        </w:tc>
        <w:tc>
          <w:tcPr>
            <w:tcW w:w="2112" w:type="dxa"/>
            <w:tcMar>
              <w:top w:w="0" w:type="dxa"/>
              <w:left w:w="108" w:type="dxa"/>
              <w:bottom w:w="0" w:type="dxa"/>
              <w:right w:w="108" w:type="dxa"/>
            </w:tcMar>
            <w:vAlign w:val="center"/>
            <w:hideMark/>
          </w:tcPr>
          <w:p w14:paraId="280D1E4D" w14:textId="5099BB60" w:rsidR="000E1F07" w:rsidRPr="00FC1687" w:rsidRDefault="000E1F07" w:rsidP="000E1F07">
            <w:pPr>
              <w:pStyle w:val="Textoindependiente"/>
              <w:jc w:val="both"/>
              <w:rPr>
                <w:rFonts w:ascii="Arial" w:hAnsi="Arial" w:cs="Arial"/>
                <w:sz w:val="16"/>
                <w:lang w:val="es-ES"/>
              </w:rPr>
            </w:pPr>
            <w:r w:rsidRPr="00FC1687">
              <w:rPr>
                <w:rFonts w:ascii="Arial" w:hAnsi="Arial" w:cs="Arial"/>
                <w:sz w:val="16"/>
              </w:rPr>
              <w:t>Listar</w:t>
            </w:r>
            <w:r w:rsidRPr="00FC1687">
              <w:rPr>
                <w:rFonts w:ascii="Arial" w:hAnsi="Arial" w:cs="Arial"/>
                <w:sz w:val="16"/>
                <w:lang w:val="es-ES"/>
              </w:rPr>
              <w:t xml:space="preserve"> mantenimientos y modificación de usuarios (Número telefónico, </w:t>
            </w:r>
            <w:r w:rsidR="0034192A" w:rsidRPr="00FC1687">
              <w:rPr>
                <w:rFonts w:ascii="Arial" w:hAnsi="Arial" w:cs="Arial"/>
                <w:sz w:val="16"/>
                <w:lang w:val="es-ES"/>
              </w:rPr>
              <w:t>c</w:t>
            </w:r>
            <w:r w:rsidRPr="00FC1687">
              <w:rPr>
                <w:rFonts w:ascii="Arial" w:hAnsi="Arial" w:cs="Arial"/>
                <w:sz w:val="16"/>
                <w:lang w:val="es-ES"/>
              </w:rPr>
              <w:t xml:space="preserve">orreo electrónico, </w:t>
            </w:r>
            <w:r w:rsidR="0034192A" w:rsidRPr="00FC1687">
              <w:rPr>
                <w:rFonts w:ascii="Arial" w:hAnsi="Arial" w:cs="Arial"/>
                <w:sz w:val="16"/>
                <w:lang w:val="es-ES"/>
              </w:rPr>
              <w:t>c</w:t>
            </w:r>
            <w:r w:rsidRPr="00FC1687">
              <w:rPr>
                <w:rFonts w:ascii="Arial" w:hAnsi="Arial" w:cs="Arial"/>
                <w:sz w:val="16"/>
                <w:lang w:val="es-ES"/>
              </w:rPr>
              <w:t xml:space="preserve">lave, </w:t>
            </w:r>
            <w:r w:rsidR="0034192A" w:rsidRPr="00FC1687">
              <w:rPr>
                <w:rFonts w:ascii="Arial" w:hAnsi="Arial" w:cs="Arial"/>
                <w:sz w:val="16"/>
                <w:lang w:val="es-ES"/>
              </w:rPr>
              <w:t>v</w:t>
            </w:r>
            <w:r w:rsidRPr="00FC1687">
              <w:rPr>
                <w:rFonts w:ascii="Arial" w:hAnsi="Arial" w:cs="Arial"/>
                <w:sz w:val="16"/>
                <w:lang w:val="es-ES"/>
              </w:rPr>
              <w:t xml:space="preserve">erificar </w:t>
            </w:r>
            <w:r w:rsidR="0034192A" w:rsidRPr="00FC1687">
              <w:rPr>
                <w:rFonts w:ascii="Arial" w:hAnsi="Arial" w:cs="Arial"/>
                <w:sz w:val="16"/>
                <w:lang w:val="es-ES"/>
              </w:rPr>
              <w:t>c</w:t>
            </w:r>
            <w:r w:rsidRPr="00FC1687">
              <w:rPr>
                <w:rFonts w:ascii="Arial" w:hAnsi="Arial" w:cs="Arial"/>
                <w:sz w:val="16"/>
                <w:lang w:val="es-ES"/>
              </w:rPr>
              <w:t xml:space="preserve">lave). </w:t>
            </w:r>
          </w:p>
        </w:tc>
        <w:tc>
          <w:tcPr>
            <w:tcW w:w="1465" w:type="dxa"/>
            <w:tcMar>
              <w:top w:w="0" w:type="dxa"/>
              <w:left w:w="108" w:type="dxa"/>
              <w:bottom w:w="0" w:type="dxa"/>
              <w:right w:w="108" w:type="dxa"/>
            </w:tcMar>
            <w:vAlign w:val="center"/>
            <w:hideMark/>
          </w:tcPr>
          <w:p w14:paraId="1A50476B" w14:textId="667E0A1D"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 xml:space="preserve">Administrador </w:t>
            </w:r>
          </w:p>
        </w:tc>
        <w:tc>
          <w:tcPr>
            <w:tcW w:w="1467" w:type="dxa"/>
            <w:tcMar>
              <w:top w:w="0" w:type="dxa"/>
              <w:left w:w="108" w:type="dxa"/>
              <w:bottom w:w="0" w:type="dxa"/>
              <w:right w:w="108" w:type="dxa"/>
            </w:tcMar>
            <w:vAlign w:val="center"/>
            <w:hideMark/>
          </w:tcPr>
          <w:p w14:paraId="14D08660" w14:textId="4AF6AB63"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 xml:space="preserve">Administrador </w:t>
            </w:r>
          </w:p>
        </w:tc>
      </w:tr>
      <w:tr w:rsidR="007652C2" w:rsidRPr="00FC1687" w14:paraId="0683F6B6" w14:textId="77777777" w:rsidTr="00D3611D">
        <w:trPr>
          <w:trHeight w:val="284"/>
        </w:trPr>
        <w:tc>
          <w:tcPr>
            <w:tcW w:w="1985" w:type="dxa"/>
            <w:tcMar>
              <w:top w:w="0" w:type="dxa"/>
              <w:left w:w="108" w:type="dxa"/>
              <w:bottom w:w="0" w:type="dxa"/>
              <w:right w:w="108" w:type="dxa"/>
            </w:tcMar>
            <w:vAlign w:val="center"/>
            <w:hideMark/>
          </w:tcPr>
          <w:p w14:paraId="404F262D" w14:textId="54182303" w:rsidR="000E1F07" w:rsidRPr="00FC1687" w:rsidRDefault="000E1F07" w:rsidP="00A319C9">
            <w:pPr>
              <w:pStyle w:val="Textoindependiente"/>
              <w:spacing w:line="276" w:lineRule="auto"/>
              <w:jc w:val="center"/>
              <w:rPr>
                <w:rFonts w:ascii="Arial" w:hAnsi="Arial" w:cs="Arial"/>
                <w:b/>
                <w:bCs/>
                <w:sz w:val="16"/>
                <w:lang w:val="es-ES"/>
              </w:rPr>
            </w:pPr>
            <w:r w:rsidRPr="00FC1687">
              <w:rPr>
                <w:rFonts w:ascii="Arial" w:hAnsi="Arial" w:cs="Arial"/>
                <w:b/>
                <w:bCs/>
                <w:sz w:val="16"/>
                <w:lang w:val="es-ES"/>
              </w:rPr>
              <w:t>Registrador</w:t>
            </w:r>
            <w:r w:rsidR="006F23F4">
              <w:rPr>
                <w:rFonts w:ascii="Arial" w:hAnsi="Arial" w:cs="Arial"/>
                <w:b/>
                <w:bCs/>
                <w:sz w:val="16"/>
                <w:lang w:val="es-ES"/>
              </w:rPr>
              <w:t xml:space="preserve"> </w:t>
            </w:r>
            <w:r w:rsidR="00EB68BE">
              <w:rPr>
                <w:rFonts w:ascii="Arial" w:hAnsi="Arial" w:cs="Arial"/>
                <w:b/>
                <w:bCs/>
                <w:sz w:val="16"/>
                <w:lang w:val="es-ES"/>
              </w:rPr>
              <w:t>Participante</w:t>
            </w:r>
          </w:p>
        </w:tc>
        <w:tc>
          <w:tcPr>
            <w:tcW w:w="2518" w:type="dxa"/>
            <w:tcMar>
              <w:top w:w="0" w:type="dxa"/>
              <w:left w:w="108" w:type="dxa"/>
              <w:bottom w:w="0" w:type="dxa"/>
              <w:right w:w="108" w:type="dxa"/>
            </w:tcMar>
            <w:vAlign w:val="center"/>
            <w:hideMark/>
          </w:tcPr>
          <w:p w14:paraId="377855B4" w14:textId="6AC03D5E" w:rsidR="000E1F07" w:rsidRPr="00FC1687" w:rsidRDefault="000E1F07" w:rsidP="000E1F07">
            <w:pPr>
              <w:pStyle w:val="Textoindependiente"/>
              <w:jc w:val="both"/>
              <w:rPr>
                <w:rFonts w:ascii="Arial" w:hAnsi="Arial" w:cs="Arial"/>
                <w:sz w:val="16"/>
                <w:lang w:val="es-ES"/>
              </w:rPr>
            </w:pPr>
            <w:r w:rsidRPr="00FC1687">
              <w:rPr>
                <w:rFonts w:ascii="Arial" w:hAnsi="Arial" w:cs="Arial"/>
                <w:sz w:val="16"/>
              </w:rPr>
              <w:t>Listar</w:t>
            </w:r>
            <w:r w:rsidRPr="00FC1687">
              <w:rPr>
                <w:rFonts w:ascii="Arial" w:hAnsi="Arial" w:cs="Arial"/>
                <w:sz w:val="16"/>
                <w:lang w:val="es-ES"/>
              </w:rPr>
              <w:t xml:space="preserve"> mantenimientos; así como acceso a consultas, reportes de operación </w:t>
            </w:r>
            <w:r w:rsidR="007E204A" w:rsidRPr="00FC1687">
              <w:rPr>
                <w:rFonts w:ascii="Arial" w:hAnsi="Arial" w:cs="Arial"/>
                <w:sz w:val="16"/>
                <w:lang w:val="es-ES"/>
              </w:rPr>
              <w:t xml:space="preserve">y </w:t>
            </w:r>
            <w:r w:rsidR="0034192A" w:rsidRPr="00FC1687">
              <w:rPr>
                <w:rFonts w:ascii="Arial" w:hAnsi="Arial" w:cs="Arial"/>
                <w:sz w:val="16"/>
                <w:lang w:val="es-ES"/>
              </w:rPr>
              <w:t>m</w:t>
            </w:r>
            <w:r w:rsidR="007E204A" w:rsidRPr="00FC1687">
              <w:rPr>
                <w:rFonts w:ascii="Arial" w:hAnsi="Arial" w:cs="Arial"/>
                <w:sz w:val="16"/>
                <w:lang w:val="es-ES"/>
              </w:rPr>
              <w:t>onitor</w:t>
            </w:r>
            <w:r w:rsidRPr="00FC1687">
              <w:rPr>
                <w:rFonts w:ascii="Arial" w:hAnsi="Arial" w:cs="Arial"/>
                <w:sz w:val="16"/>
                <w:lang w:val="es-ES"/>
              </w:rPr>
              <w:t xml:space="preserve"> de</w:t>
            </w:r>
            <w:r w:rsidR="00A07E88">
              <w:rPr>
                <w:rFonts w:ascii="Arial" w:hAnsi="Arial" w:cs="Arial"/>
                <w:sz w:val="16"/>
                <w:lang w:val="es-ES"/>
              </w:rPr>
              <w:t>l Transfer365</w:t>
            </w:r>
            <w:r w:rsidRPr="00FC1687">
              <w:rPr>
                <w:rFonts w:ascii="Arial" w:hAnsi="Arial" w:cs="Arial"/>
                <w:color w:val="000000"/>
                <w:sz w:val="16"/>
              </w:rPr>
              <w:t xml:space="preserve">. </w:t>
            </w:r>
          </w:p>
        </w:tc>
        <w:tc>
          <w:tcPr>
            <w:tcW w:w="2112" w:type="dxa"/>
            <w:tcMar>
              <w:top w:w="0" w:type="dxa"/>
              <w:left w:w="108" w:type="dxa"/>
              <w:bottom w:w="0" w:type="dxa"/>
              <w:right w:w="108" w:type="dxa"/>
            </w:tcMar>
            <w:vAlign w:val="center"/>
            <w:hideMark/>
          </w:tcPr>
          <w:p w14:paraId="1E7CAD90" w14:textId="555AA250" w:rsidR="000E1F07" w:rsidRPr="00FC1687" w:rsidRDefault="000E1F07" w:rsidP="000E1F07">
            <w:pPr>
              <w:pStyle w:val="Textoindependiente"/>
              <w:jc w:val="both"/>
              <w:rPr>
                <w:rFonts w:ascii="Arial" w:hAnsi="Arial" w:cs="Arial"/>
                <w:sz w:val="16"/>
                <w:lang w:val="es-ES"/>
              </w:rPr>
            </w:pPr>
            <w:r w:rsidRPr="00FC1687">
              <w:rPr>
                <w:rFonts w:ascii="Arial" w:hAnsi="Arial" w:cs="Arial"/>
                <w:sz w:val="16"/>
                <w:lang w:val="es-ES"/>
              </w:rPr>
              <w:t xml:space="preserve">Ejecuta el registro del ítem, lote y archivo </w:t>
            </w:r>
            <w:r w:rsidRPr="00A31458">
              <w:rPr>
                <w:rFonts w:ascii="Arial" w:hAnsi="Arial" w:cs="Arial"/>
                <w:sz w:val="16"/>
                <w:lang w:val="es-ES"/>
              </w:rPr>
              <w:t>de TC en</w:t>
            </w:r>
            <w:r w:rsidRPr="00FC1687">
              <w:rPr>
                <w:rFonts w:ascii="Arial" w:hAnsi="Arial" w:cs="Arial"/>
                <w:sz w:val="16"/>
                <w:lang w:val="es-ES"/>
              </w:rPr>
              <w:t xml:space="preserve"> el sistema.</w:t>
            </w:r>
          </w:p>
        </w:tc>
        <w:tc>
          <w:tcPr>
            <w:tcW w:w="1465" w:type="dxa"/>
            <w:tcMar>
              <w:top w:w="0" w:type="dxa"/>
              <w:left w:w="108" w:type="dxa"/>
              <w:bottom w:w="0" w:type="dxa"/>
              <w:right w:w="108" w:type="dxa"/>
            </w:tcMar>
            <w:vAlign w:val="center"/>
            <w:hideMark/>
          </w:tcPr>
          <w:p w14:paraId="301B389E" w14:textId="77777777"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Consulta</w:t>
            </w:r>
          </w:p>
        </w:tc>
        <w:tc>
          <w:tcPr>
            <w:tcW w:w="1467" w:type="dxa"/>
            <w:tcMar>
              <w:top w:w="0" w:type="dxa"/>
              <w:left w:w="108" w:type="dxa"/>
              <w:bottom w:w="0" w:type="dxa"/>
              <w:right w:w="108" w:type="dxa"/>
            </w:tcMar>
            <w:vAlign w:val="center"/>
            <w:hideMark/>
          </w:tcPr>
          <w:p w14:paraId="1F57CDEE" w14:textId="77777777"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Registrador</w:t>
            </w:r>
          </w:p>
        </w:tc>
      </w:tr>
      <w:tr w:rsidR="007652C2" w:rsidRPr="00FC1687" w14:paraId="3264472D" w14:textId="77777777" w:rsidTr="00D3611D">
        <w:trPr>
          <w:trHeight w:val="284"/>
        </w:trPr>
        <w:tc>
          <w:tcPr>
            <w:tcW w:w="1985" w:type="dxa"/>
            <w:tcMar>
              <w:top w:w="0" w:type="dxa"/>
              <w:left w:w="108" w:type="dxa"/>
              <w:bottom w:w="0" w:type="dxa"/>
              <w:right w:w="108" w:type="dxa"/>
            </w:tcMar>
            <w:vAlign w:val="center"/>
            <w:hideMark/>
          </w:tcPr>
          <w:p w14:paraId="0F9C5007" w14:textId="60453A0B" w:rsidR="000E1F07" w:rsidRPr="00FC1687" w:rsidRDefault="000E1F07" w:rsidP="00A319C9">
            <w:pPr>
              <w:pStyle w:val="Textoindependiente"/>
              <w:spacing w:line="276" w:lineRule="auto"/>
              <w:jc w:val="center"/>
              <w:rPr>
                <w:rFonts w:ascii="Arial" w:hAnsi="Arial" w:cs="Arial"/>
                <w:b/>
                <w:bCs/>
                <w:sz w:val="16"/>
                <w:lang w:val="es-ES"/>
              </w:rPr>
            </w:pPr>
            <w:r w:rsidRPr="00FC1687">
              <w:rPr>
                <w:rFonts w:ascii="Arial" w:hAnsi="Arial" w:cs="Arial"/>
                <w:b/>
                <w:bCs/>
                <w:sz w:val="16"/>
                <w:lang w:val="es-ES"/>
              </w:rPr>
              <w:t xml:space="preserve">Autorizador </w:t>
            </w:r>
            <w:r w:rsidR="00EB68BE">
              <w:rPr>
                <w:rFonts w:ascii="Arial" w:hAnsi="Arial" w:cs="Arial"/>
                <w:b/>
                <w:bCs/>
                <w:sz w:val="16"/>
                <w:lang w:val="es-ES"/>
              </w:rPr>
              <w:t>Participante</w:t>
            </w:r>
          </w:p>
        </w:tc>
        <w:tc>
          <w:tcPr>
            <w:tcW w:w="2518" w:type="dxa"/>
            <w:tcMar>
              <w:top w:w="0" w:type="dxa"/>
              <w:left w:w="108" w:type="dxa"/>
              <w:bottom w:w="0" w:type="dxa"/>
              <w:right w:w="108" w:type="dxa"/>
            </w:tcMar>
            <w:vAlign w:val="center"/>
            <w:hideMark/>
          </w:tcPr>
          <w:p w14:paraId="7AB6E0F3" w14:textId="368AB3A2" w:rsidR="000E1F07" w:rsidRPr="00FC1687" w:rsidRDefault="000E1F07" w:rsidP="000E1F07">
            <w:pPr>
              <w:pStyle w:val="Textoindependiente"/>
              <w:jc w:val="both"/>
              <w:rPr>
                <w:rFonts w:ascii="Arial" w:hAnsi="Arial" w:cs="Arial"/>
                <w:color w:val="000000"/>
                <w:sz w:val="16"/>
                <w:lang w:val="es-SV"/>
              </w:rPr>
            </w:pPr>
            <w:r w:rsidRPr="00FC1687">
              <w:rPr>
                <w:rFonts w:ascii="Arial" w:hAnsi="Arial" w:cs="Arial"/>
                <w:sz w:val="16"/>
              </w:rPr>
              <w:t xml:space="preserve">Listar </w:t>
            </w:r>
            <w:r w:rsidRPr="00FC1687">
              <w:rPr>
                <w:rFonts w:ascii="Arial" w:hAnsi="Arial" w:cs="Arial"/>
                <w:sz w:val="16"/>
                <w:lang w:val="es-ES"/>
              </w:rPr>
              <w:t xml:space="preserve">mantenimientos; así como acceso a consultas, reportes de operación </w:t>
            </w:r>
            <w:r w:rsidR="007E204A" w:rsidRPr="00FC1687">
              <w:rPr>
                <w:rFonts w:ascii="Arial" w:hAnsi="Arial" w:cs="Arial"/>
                <w:sz w:val="16"/>
                <w:lang w:val="es-ES"/>
              </w:rPr>
              <w:t xml:space="preserve">y </w:t>
            </w:r>
            <w:r w:rsidR="0034192A" w:rsidRPr="00FC1687">
              <w:rPr>
                <w:rFonts w:ascii="Arial" w:hAnsi="Arial" w:cs="Arial"/>
                <w:sz w:val="16"/>
                <w:lang w:val="es-ES"/>
              </w:rPr>
              <w:t>m</w:t>
            </w:r>
            <w:r w:rsidR="007E204A" w:rsidRPr="00FC1687">
              <w:rPr>
                <w:rFonts w:ascii="Arial" w:hAnsi="Arial" w:cs="Arial"/>
                <w:sz w:val="16"/>
                <w:lang w:val="es-ES"/>
              </w:rPr>
              <w:t>onitor</w:t>
            </w:r>
            <w:r w:rsidRPr="00FC1687">
              <w:rPr>
                <w:rFonts w:ascii="Arial" w:hAnsi="Arial" w:cs="Arial"/>
                <w:sz w:val="16"/>
                <w:lang w:val="es-ES"/>
              </w:rPr>
              <w:t xml:space="preserve"> de</w:t>
            </w:r>
            <w:r w:rsidR="00FE5678">
              <w:rPr>
                <w:rFonts w:ascii="Arial" w:hAnsi="Arial" w:cs="Arial"/>
                <w:sz w:val="16"/>
                <w:lang w:val="es-ES"/>
              </w:rPr>
              <w:t>l Transfer365</w:t>
            </w:r>
            <w:r w:rsidRPr="00FC1687">
              <w:rPr>
                <w:rFonts w:ascii="Arial" w:hAnsi="Arial" w:cs="Arial"/>
                <w:color w:val="000000"/>
                <w:sz w:val="16"/>
              </w:rPr>
              <w:t xml:space="preserve">. </w:t>
            </w:r>
          </w:p>
        </w:tc>
        <w:tc>
          <w:tcPr>
            <w:tcW w:w="2112" w:type="dxa"/>
            <w:tcMar>
              <w:top w:w="0" w:type="dxa"/>
              <w:left w:w="108" w:type="dxa"/>
              <w:bottom w:w="0" w:type="dxa"/>
              <w:right w:w="108" w:type="dxa"/>
            </w:tcMar>
            <w:vAlign w:val="center"/>
            <w:hideMark/>
          </w:tcPr>
          <w:p w14:paraId="54E0C442" w14:textId="34FBE24C" w:rsidR="000E1F07" w:rsidRPr="00FC1687" w:rsidRDefault="000E1F07" w:rsidP="000E1F07">
            <w:pPr>
              <w:pStyle w:val="Textoindependiente"/>
              <w:jc w:val="both"/>
              <w:rPr>
                <w:rFonts w:ascii="Arial" w:hAnsi="Arial" w:cs="Arial"/>
                <w:sz w:val="16"/>
                <w:lang w:val="es-ES"/>
              </w:rPr>
            </w:pPr>
            <w:r w:rsidRPr="00FC1687">
              <w:rPr>
                <w:rFonts w:ascii="Arial" w:hAnsi="Arial" w:cs="Arial"/>
                <w:sz w:val="16"/>
                <w:lang w:val="es-ES"/>
              </w:rPr>
              <w:t>Ejecuta la autorización del ítem, lote y archivo de TC en el sistema.</w:t>
            </w:r>
          </w:p>
        </w:tc>
        <w:tc>
          <w:tcPr>
            <w:tcW w:w="1465" w:type="dxa"/>
            <w:tcMar>
              <w:top w:w="0" w:type="dxa"/>
              <w:left w:w="108" w:type="dxa"/>
              <w:bottom w:w="0" w:type="dxa"/>
              <w:right w:w="108" w:type="dxa"/>
            </w:tcMar>
            <w:vAlign w:val="center"/>
            <w:hideMark/>
          </w:tcPr>
          <w:p w14:paraId="4DD60D17" w14:textId="77777777"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Consulta</w:t>
            </w:r>
          </w:p>
        </w:tc>
        <w:tc>
          <w:tcPr>
            <w:tcW w:w="1467" w:type="dxa"/>
            <w:tcMar>
              <w:top w:w="0" w:type="dxa"/>
              <w:left w:w="108" w:type="dxa"/>
              <w:bottom w:w="0" w:type="dxa"/>
              <w:right w:w="108" w:type="dxa"/>
            </w:tcMar>
            <w:vAlign w:val="center"/>
            <w:hideMark/>
          </w:tcPr>
          <w:p w14:paraId="27C10186" w14:textId="77777777"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Autorizador</w:t>
            </w:r>
          </w:p>
        </w:tc>
      </w:tr>
      <w:tr w:rsidR="007652C2" w:rsidRPr="00FC1687" w14:paraId="6A5FEF46" w14:textId="77777777" w:rsidTr="00D3611D">
        <w:trPr>
          <w:trHeight w:val="284"/>
        </w:trPr>
        <w:tc>
          <w:tcPr>
            <w:tcW w:w="1985" w:type="dxa"/>
            <w:tcMar>
              <w:top w:w="0" w:type="dxa"/>
              <w:left w:w="108" w:type="dxa"/>
              <w:bottom w:w="0" w:type="dxa"/>
              <w:right w:w="108" w:type="dxa"/>
            </w:tcMar>
            <w:vAlign w:val="center"/>
            <w:hideMark/>
          </w:tcPr>
          <w:p w14:paraId="4C0B467D" w14:textId="0F520697" w:rsidR="000E1F07" w:rsidRPr="00FC1687" w:rsidRDefault="000E1F07" w:rsidP="00A319C9">
            <w:pPr>
              <w:pStyle w:val="Textoindependiente"/>
              <w:spacing w:line="276" w:lineRule="auto"/>
              <w:jc w:val="center"/>
              <w:rPr>
                <w:rFonts w:ascii="Arial" w:hAnsi="Arial" w:cs="Arial"/>
                <w:b/>
                <w:bCs/>
                <w:sz w:val="16"/>
                <w:lang w:val="es-ES"/>
              </w:rPr>
            </w:pPr>
            <w:r w:rsidRPr="00FC1687">
              <w:rPr>
                <w:rFonts w:ascii="Arial" w:hAnsi="Arial" w:cs="Arial"/>
                <w:b/>
                <w:bCs/>
                <w:sz w:val="16"/>
                <w:lang w:val="es-ES"/>
              </w:rPr>
              <w:t>Consulta</w:t>
            </w:r>
            <w:r w:rsidR="0038600C">
              <w:rPr>
                <w:rFonts w:ascii="Arial" w:hAnsi="Arial" w:cs="Arial"/>
                <w:b/>
                <w:bCs/>
                <w:sz w:val="16"/>
                <w:lang w:val="es-ES"/>
              </w:rPr>
              <w:t xml:space="preserve">    </w:t>
            </w:r>
            <w:r w:rsidR="00EB68BE">
              <w:rPr>
                <w:rFonts w:ascii="Arial" w:hAnsi="Arial" w:cs="Arial"/>
                <w:b/>
                <w:bCs/>
                <w:sz w:val="16"/>
                <w:lang w:val="es-ES"/>
              </w:rPr>
              <w:t>Participante</w:t>
            </w:r>
          </w:p>
        </w:tc>
        <w:tc>
          <w:tcPr>
            <w:tcW w:w="2518" w:type="dxa"/>
            <w:tcMar>
              <w:top w:w="0" w:type="dxa"/>
              <w:left w:w="108" w:type="dxa"/>
              <w:bottom w:w="0" w:type="dxa"/>
              <w:right w:w="108" w:type="dxa"/>
            </w:tcMar>
            <w:vAlign w:val="center"/>
            <w:hideMark/>
          </w:tcPr>
          <w:p w14:paraId="679C0BA4" w14:textId="55A7A394" w:rsidR="000E1F07" w:rsidRPr="00FC1687" w:rsidRDefault="000E1F07" w:rsidP="000E1F07">
            <w:pPr>
              <w:pStyle w:val="Textoindependiente"/>
              <w:jc w:val="both"/>
              <w:rPr>
                <w:rFonts w:ascii="Arial" w:hAnsi="Arial" w:cs="Arial"/>
                <w:sz w:val="16"/>
                <w:lang w:val="es-ES"/>
              </w:rPr>
            </w:pPr>
            <w:r w:rsidRPr="00FC1687">
              <w:rPr>
                <w:rFonts w:ascii="Arial" w:hAnsi="Arial" w:cs="Arial"/>
                <w:sz w:val="16"/>
              </w:rPr>
              <w:t>Listar</w:t>
            </w:r>
            <w:r w:rsidRPr="00FC1687">
              <w:rPr>
                <w:rFonts w:ascii="Arial" w:hAnsi="Arial" w:cs="Arial"/>
                <w:sz w:val="16"/>
                <w:lang w:val="es-ES"/>
              </w:rPr>
              <w:t xml:space="preserve"> mantenimientos; así como acceso a consultas, reportes de operación </w:t>
            </w:r>
            <w:r w:rsidR="00A31458" w:rsidRPr="00FC1687">
              <w:rPr>
                <w:rFonts w:ascii="Arial" w:hAnsi="Arial" w:cs="Arial"/>
                <w:sz w:val="16"/>
                <w:lang w:val="es-ES"/>
              </w:rPr>
              <w:t>y monitor</w:t>
            </w:r>
            <w:r w:rsidR="007E204A" w:rsidRPr="00FC1687">
              <w:rPr>
                <w:rFonts w:ascii="Arial" w:hAnsi="Arial" w:cs="Arial"/>
                <w:sz w:val="16"/>
                <w:lang w:val="es-ES"/>
              </w:rPr>
              <w:t xml:space="preserve"> de</w:t>
            </w:r>
            <w:r w:rsidR="00FE5678">
              <w:rPr>
                <w:rFonts w:ascii="Arial" w:hAnsi="Arial" w:cs="Arial"/>
                <w:sz w:val="16"/>
                <w:lang w:val="es-ES"/>
              </w:rPr>
              <w:t>l Transfer365</w:t>
            </w:r>
            <w:r w:rsidRPr="00FC1687">
              <w:rPr>
                <w:rFonts w:ascii="Arial" w:hAnsi="Arial" w:cs="Arial"/>
                <w:sz w:val="16"/>
                <w:lang w:val="es-ES"/>
              </w:rPr>
              <w:t>.</w:t>
            </w:r>
          </w:p>
        </w:tc>
        <w:tc>
          <w:tcPr>
            <w:tcW w:w="2112" w:type="dxa"/>
            <w:tcMar>
              <w:top w:w="0" w:type="dxa"/>
              <w:left w:w="108" w:type="dxa"/>
              <w:bottom w:w="0" w:type="dxa"/>
              <w:right w:w="108" w:type="dxa"/>
            </w:tcMar>
            <w:vAlign w:val="center"/>
            <w:hideMark/>
          </w:tcPr>
          <w:p w14:paraId="6877716F" w14:textId="268DF657" w:rsidR="000E1F07" w:rsidRPr="00FC1687" w:rsidRDefault="000E1F07" w:rsidP="000E1F07">
            <w:pPr>
              <w:pStyle w:val="Textoindependiente"/>
              <w:jc w:val="both"/>
              <w:rPr>
                <w:rFonts w:ascii="Arial" w:hAnsi="Arial" w:cs="Arial"/>
                <w:sz w:val="16"/>
                <w:lang w:val="es-ES"/>
              </w:rPr>
            </w:pPr>
            <w:r w:rsidRPr="00FC1687">
              <w:rPr>
                <w:rFonts w:ascii="Arial" w:hAnsi="Arial" w:cs="Arial"/>
                <w:sz w:val="16"/>
                <w:lang w:val="es-ES"/>
              </w:rPr>
              <w:t xml:space="preserve">Listar mantenimientos; así como acceso a consultas, reportes de operación </w:t>
            </w:r>
            <w:r w:rsidR="00A31458" w:rsidRPr="00FC1687">
              <w:rPr>
                <w:rFonts w:ascii="Arial" w:hAnsi="Arial" w:cs="Arial"/>
                <w:sz w:val="16"/>
                <w:lang w:val="es-ES"/>
              </w:rPr>
              <w:t>y monitor</w:t>
            </w:r>
            <w:r w:rsidR="007E204A" w:rsidRPr="00FC1687">
              <w:rPr>
                <w:rFonts w:ascii="Arial" w:hAnsi="Arial" w:cs="Arial"/>
                <w:sz w:val="16"/>
                <w:lang w:val="es-ES"/>
              </w:rPr>
              <w:t xml:space="preserve"> de</w:t>
            </w:r>
            <w:r w:rsidR="00FE5678">
              <w:rPr>
                <w:rFonts w:ascii="Arial" w:hAnsi="Arial" w:cs="Arial"/>
                <w:sz w:val="16"/>
                <w:lang w:val="es-ES"/>
              </w:rPr>
              <w:t>l Transfer365</w:t>
            </w:r>
            <w:r w:rsidRPr="00FC1687">
              <w:rPr>
                <w:rFonts w:ascii="Arial" w:hAnsi="Arial" w:cs="Arial"/>
                <w:sz w:val="16"/>
                <w:lang w:val="es-ES"/>
              </w:rPr>
              <w:t>.</w:t>
            </w:r>
          </w:p>
        </w:tc>
        <w:tc>
          <w:tcPr>
            <w:tcW w:w="1465" w:type="dxa"/>
            <w:tcMar>
              <w:top w:w="0" w:type="dxa"/>
              <w:left w:w="108" w:type="dxa"/>
              <w:bottom w:w="0" w:type="dxa"/>
              <w:right w:w="108" w:type="dxa"/>
            </w:tcMar>
            <w:vAlign w:val="center"/>
            <w:hideMark/>
          </w:tcPr>
          <w:p w14:paraId="4947ADE1" w14:textId="2F52AC1D"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Consulta</w:t>
            </w:r>
          </w:p>
        </w:tc>
        <w:tc>
          <w:tcPr>
            <w:tcW w:w="1467" w:type="dxa"/>
            <w:tcMar>
              <w:top w:w="0" w:type="dxa"/>
              <w:left w:w="108" w:type="dxa"/>
              <w:bottom w:w="0" w:type="dxa"/>
              <w:right w:w="108" w:type="dxa"/>
            </w:tcMar>
            <w:vAlign w:val="center"/>
            <w:hideMark/>
          </w:tcPr>
          <w:p w14:paraId="5DE6628F" w14:textId="2B9772A5" w:rsidR="000E1F07" w:rsidRPr="00FC1687" w:rsidRDefault="000E1F07">
            <w:pPr>
              <w:pStyle w:val="Textoindependiente"/>
              <w:spacing w:line="276" w:lineRule="auto"/>
              <w:jc w:val="center"/>
              <w:rPr>
                <w:rFonts w:ascii="Arial" w:hAnsi="Arial" w:cs="Arial"/>
                <w:sz w:val="16"/>
                <w:lang w:val="es-ES"/>
              </w:rPr>
            </w:pPr>
            <w:r w:rsidRPr="00FC1687">
              <w:rPr>
                <w:rFonts w:ascii="Arial" w:hAnsi="Arial" w:cs="Arial"/>
                <w:sz w:val="16"/>
                <w:lang w:val="es-ES"/>
              </w:rPr>
              <w:t>Consulta</w:t>
            </w:r>
          </w:p>
        </w:tc>
      </w:tr>
    </w:tbl>
    <w:p w14:paraId="7D6B3CC6" w14:textId="44391431" w:rsidR="00BC6746" w:rsidRPr="00D61EE0" w:rsidRDefault="00CC5956" w:rsidP="00BC6746">
      <w:pPr>
        <w:pStyle w:val="Textoindependiente"/>
        <w:spacing w:line="276" w:lineRule="auto"/>
        <w:jc w:val="both"/>
        <w:rPr>
          <w:rFonts w:ascii="Arial" w:hAnsi="Arial" w:cs="Arial"/>
          <w:sz w:val="20"/>
          <w:szCs w:val="22"/>
          <w:lang w:val="es-ES"/>
        </w:rPr>
      </w:pPr>
      <w:r w:rsidRPr="00D61EE0">
        <w:rPr>
          <w:rFonts w:ascii="Arial" w:hAnsi="Arial" w:cs="Arial"/>
          <w:color w:val="000000"/>
          <w:sz w:val="16"/>
          <w:szCs w:val="22"/>
        </w:rPr>
        <w:t xml:space="preserve">*Reportes </w:t>
      </w:r>
      <w:r w:rsidRPr="00D61EE0">
        <w:rPr>
          <w:rFonts w:ascii="Arial" w:hAnsi="Arial" w:cs="Arial"/>
          <w:color w:val="000000"/>
          <w:sz w:val="16"/>
          <w:szCs w:val="16"/>
        </w:rPr>
        <w:t xml:space="preserve">y </w:t>
      </w:r>
      <w:r w:rsidR="0034192A" w:rsidRPr="00D61EE0">
        <w:rPr>
          <w:rFonts w:ascii="Arial" w:hAnsi="Arial" w:cs="Arial"/>
          <w:sz w:val="16"/>
          <w:szCs w:val="16"/>
          <w:lang w:val="es-ES"/>
        </w:rPr>
        <w:t>m</w:t>
      </w:r>
      <w:r w:rsidR="003E5F10" w:rsidRPr="00D61EE0">
        <w:rPr>
          <w:rFonts w:ascii="Arial" w:hAnsi="Arial" w:cs="Arial"/>
          <w:sz w:val="16"/>
          <w:szCs w:val="16"/>
          <w:lang w:val="es-ES"/>
        </w:rPr>
        <w:t>onitor de</w:t>
      </w:r>
      <w:r w:rsidR="00FE5678">
        <w:rPr>
          <w:rFonts w:ascii="Arial" w:hAnsi="Arial" w:cs="Arial"/>
          <w:sz w:val="16"/>
          <w:szCs w:val="16"/>
          <w:lang w:val="es-ES"/>
        </w:rPr>
        <w:t>l Transfer365</w:t>
      </w:r>
      <w:r w:rsidRPr="00D61EE0">
        <w:rPr>
          <w:rFonts w:ascii="Arial" w:hAnsi="Arial" w:cs="Arial"/>
          <w:color w:val="000000"/>
          <w:sz w:val="16"/>
          <w:szCs w:val="16"/>
        </w:rPr>
        <w:t xml:space="preserve">: </w:t>
      </w:r>
      <w:r w:rsidR="00FF5E51">
        <w:rPr>
          <w:rFonts w:ascii="Arial" w:hAnsi="Arial" w:cs="Arial"/>
          <w:color w:val="000000"/>
          <w:sz w:val="16"/>
          <w:szCs w:val="16"/>
        </w:rPr>
        <w:t>P</w:t>
      </w:r>
      <w:r w:rsidR="003D12F3" w:rsidRPr="00D61EE0">
        <w:rPr>
          <w:rFonts w:ascii="Arial" w:hAnsi="Arial" w:cs="Arial"/>
          <w:color w:val="000000"/>
          <w:sz w:val="16"/>
          <w:szCs w:val="16"/>
        </w:rPr>
        <w:t>resenta</w:t>
      </w:r>
      <w:r w:rsidR="003D12F3" w:rsidRPr="00D61EE0">
        <w:rPr>
          <w:rFonts w:ascii="Arial" w:hAnsi="Arial" w:cs="Arial"/>
          <w:color w:val="000000"/>
          <w:sz w:val="16"/>
          <w:szCs w:val="22"/>
        </w:rPr>
        <w:t xml:space="preserve"> información de los archivos enviados y recibidos, así como de las posiciones de compensación </w:t>
      </w:r>
      <w:r w:rsidR="00A31458" w:rsidRPr="00D61EE0">
        <w:rPr>
          <w:rFonts w:ascii="Arial" w:hAnsi="Arial" w:cs="Arial"/>
          <w:color w:val="000000"/>
          <w:sz w:val="16"/>
          <w:szCs w:val="22"/>
        </w:rPr>
        <w:t>de los</w:t>
      </w:r>
      <w:r w:rsidR="003D12F3" w:rsidRPr="00D61EE0">
        <w:rPr>
          <w:rFonts w:ascii="Arial" w:hAnsi="Arial" w:cs="Arial"/>
          <w:color w:val="000000"/>
          <w:sz w:val="16"/>
          <w:szCs w:val="22"/>
        </w:rPr>
        <w:t xml:space="preserve"> </w:t>
      </w:r>
      <w:r w:rsidR="00EB68BE">
        <w:rPr>
          <w:rFonts w:ascii="Arial" w:hAnsi="Arial" w:cs="Arial"/>
          <w:color w:val="000000"/>
          <w:sz w:val="16"/>
          <w:szCs w:val="22"/>
        </w:rPr>
        <w:t>Participante</w:t>
      </w:r>
      <w:r w:rsidR="003D12F3" w:rsidRPr="00D61EE0">
        <w:rPr>
          <w:rFonts w:ascii="Arial" w:hAnsi="Arial" w:cs="Arial"/>
          <w:color w:val="000000"/>
          <w:sz w:val="16"/>
          <w:szCs w:val="22"/>
        </w:rPr>
        <w:t>s.</w:t>
      </w:r>
    </w:p>
    <w:p w14:paraId="32070F80" w14:textId="66451211" w:rsidR="008C47C3" w:rsidRPr="00A319C9" w:rsidRDefault="008C47C3" w:rsidP="007E65DE">
      <w:pPr>
        <w:pStyle w:val="Textoindependiente"/>
        <w:numPr>
          <w:ilvl w:val="0"/>
          <w:numId w:val="2"/>
        </w:numPr>
        <w:spacing w:line="276" w:lineRule="auto"/>
        <w:jc w:val="both"/>
        <w:rPr>
          <w:rFonts w:ascii="Arial" w:hAnsi="Arial" w:cs="Arial"/>
          <w:sz w:val="20"/>
          <w:szCs w:val="22"/>
          <w:lang w:val="es-ES"/>
        </w:rPr>
      </w:pPr>
      <w:r w:rsidRPr="00A319C9">
        <w:rPr>
          <w:rFonts w:ascii="Arial" w:hAnsi="Arial" w:cs="Arial"/>
          <w:sz w:val="20"/>
          <w:szCs w:val="22"/>
          <w:lang w:val="es-ES"/>
        </w:rPr>
        <w:t>E</w:t>
      </w:r>
      <w:r w:rsidR="00365344">
        <w:rPr>
          <w:rFonts w:ascii="Arial" w:hAnsi="Arial" w:cs="Arial"/>
          <w:sz w:val="20"/>
          <w:szCs w:val="22"/>
          <w:lang w:val="es-ES"/>
        </w:rPr>
        <w:t>l DPV en coordinación con el Gerencia de Innovación y Tecnología de Información (GIT</w:t>
      </w:r>
      <w:r w:rsidR="00FF5E51">
        <w:rPr>
          <w:rFonts w:ascii="Arial" w:hAnsi="Arial" w:cs="Arial"/>
          <w:sz w:val="20"/>
          <w:szCs w:val="22"/>
          <w:lang w:val="es-ES"/>
        </w:rPr>
        <w:t>I</w:t>
      </w:r>
      <w:r w:rsidR="00365344">
        <w:rPr>
          <w:rFonts w:ascii="Arial" w:hAnsi="Arial" w:cs="Arial"/>
          <w:sz w:val="20"/>
          <w:szCs w:val="22"/>
          <w:lang w:val="es-ES"/>
        </w:rPr>
        <w:t>)</w:t>
      </w:r>
      <w:r w:rsidR="00FF5E51">
        <w:rPr>
          <w:rFonts w:ascii="Arial" w:hAnsi="Arial" w:cs="Arial"/>
          <w:sz w:val="20"/>
          <w:szCs w:val="22"/>
          <w:lang w:val="es-ES"/>
        </w:rPr>
        <w:t xml:space="preserve"> </w:t>
      </w:r>
      <w:r w:rsidR="00365344" w:rsidRPr="00A319C9">
        <w:rPr>
          <w:rFonts w:ascii="Arial" w:hAnsi="Arial" w:cs="Arial"/>
          <w:sz w:val="20"/>
          <w:szCs w:val="22"/>
          <w:lang w:val="es-ES"/>
        </w:rPr>
        <w:t>remitirá</w:t>
      </w:r>
      <w:r w:rsidR="00FF5E51">
        <w:rPr>
          <w:rFonts w:ascii="Arial" w:hAnsi="Arial" w:cs="Arial"/>
          <w:sz w:val="20"/>
          <w:szCs w:val="22"/>
          <w:lang w:val="es-ES"/>
        </w:rPr>
        <w:t>n</w:t>
      </w:r>
      <w:r w:rsidRPr="00A319C9">
        <w:rPr>
          <w:rFonts w:ascii="Arial" w:hAnsi="Arial" w:cs="Arial"/>
          <w:sz w:val="20"/>
          <w:szCs w:val="22"/>
          <w:lang w:val="es-ES"/>
        </w:rPr>
        <w:t xml:space="preserve"> a cada persona su código de usuario y contraseña, la cual deberá ser cambiada cuando se ingrese por primera vez. </w:t>
      </w:r>
    </w:p>
    <w:p w14:paraId="53EA763E" w14:textId="162839BA" w:rsidR="008C47C3" w:rsidRPr="00A319C9" w:rsidRDefault="00365344" w:rsidP="007E65DE">
      <w:pPr>
        <w:pStyle w:val="Textoindependiente"/>
        <w:numPr>
          <w:ilvl w:val="0"/>
          <w:numId w:val="2"/>
        </w:numPr>
        <w:spacing w:line="276" w:lineRule="auto"/>
        <w:jc w:val="both"/>
        <w:rPr>
          <w:rFonts w:ascii="Arial" w:hAnsi="Arial" w:cs="Arial"/>
          <w:sz w:val="20"/>
          <w:szCs w:val="22"/>
          <w:lang w:val="es-ES"/>
        </w:rPr>
      </w:pPr>
      <w:r>
        <w:rPr>
          <w:rFonts w:ascii="Arial" w:hAnsi="Arial" w:cs="Arial"/>
          <w:sz w:val="20"/>
          <w:szCs w:val="22"/>
          <w:lang w:val="es-ES"/>
        </w:rPr>
        <w:t>La GIT</w:t>
      </w:r>
      <w:r w:rsidR="00FF5E51">
        <w:rPr>
          <w:rFonts w:ascii="Arial" w:hAnsi="Arial" w:cs="Arial"/>
          <w:sz w:val="20"/>
          <w:szCs w:val="22"/>
          <w:lang w:val="es-ES"/>
        </w:rPr>
        <w:t>I</w:t>
      </w:r>
      <w:r w:rsidR="008C47C3" w:rsidRPr="00A319C9">
        <w:rPr>
          <w:rFonts w:ascii="Arial" w:hAnsi="Arial" w:cs="Arial"/>
          <w:sz w:val="20"/>
          <w:szCs w:val="22"/>
          <w:lang w:val="es-ES"/>
        </w:rPr>
        <w:t xml:space="preserve"> remitirá los Token de PKI a los usuarios previamente definidos para operar en la compensación de </w:t>
      </w:r>
      <w:r w:rsidR="00D3611D" w:rsidRPr="00A319C9">
        <w:rPr>
          <w:rFonts w:ascii="Arial" w:hAnsi="Arial" w:cs="Arial"/>
          <w:sz w:val="20"/>
          <w:szCs w:val="22"/>
          <w:lang w:val="es-ES"/>
        </w:rPr>
        <w:t xml:space="preserve">pagos masivos. </w:t>
      </w:r>
    </w:p>
    <w:p w14:paraId="5619C9F5" w14:textId="171BC463" w:rsidR="00D3055D" w:rsidRDefault="00D3055D" w:rsidP="00D8474B">
      <w:pPr>
        <w:pStyle w:val="Textoindependiente"/>
        <w:tabs>
          <w:tab w:val="left" w:pos="6534"/>
        </w:tabs>
        <w:spacing w:line="276" w:lineRule="auto"/>
        <w:jc w:val="both"/>
        <w:rPr>
          <w:rFonts w:ascii="Arial" w:hAnsi="Arial" w:cs="Arial"/>
          <w:sz w:val="14"/>
          <w:szCs w:val="16"/>
          <w:lang w:val="es-ES"/>
        </w:rPr>
        <w:sectPr w:rsidR="00D3055D" w:rsidSect="007012AA">
          <w:headerReference w:type="even" r:id="rId30"/>
          <w:headerReference w:type="default" r:id="rId31"/>
          <w:footerReference w:type="default" r:id="rId32"/>
          <w:headerReference w:type="first" r:id="rId33"/>
          <w:footerReference w:type="first" r:id="rId34"/>
          <w:pgSz w:w="12240" w:h="15840"/>
          <w:pgMar w:top="1417" w:right="1701" w:bottom="1417" w:left="1701" w:header="708" w:footer="708" w:gutter="0"/>
          <w:cols w:space="708"/>
          <w:docGrid w:linePitch="360"/>
        </w:sectPr>
      </w:pPr>
    </w:p>
    <w:bookmarkEnd w:id="101"/>
    <w:bookmarkEnd w:id="102"/>
    <w:bookmarkEnd w:id="103"/>
    <w:p w14:paraId="37217681" w14:textId="6610ECEB" w:rsidR="003565BB" w:rsidRPr="001F205F" w:rsidRDefault="003565BB" w:rsidP="003565BB">
      <w:pPr>
        <w:pStyle w:val="Standardtext"/>
        <w:ind w:left="1776"/>
        <w:jc w:val="right"/>
        <w:rPr>
          <w:rFonts w:ascii="Arial" w:hAnsi="Arial" w:cs="Arial"/>
          <w:b/>
          <w:sz w:val="24"/>
          <w:lang w:val="es-MX"/>
        </w:rPr>
      </w:pPr>
      <w:r w:rsidRPr="001F205F">
        <w:rPr>
          <w:rFonts w:ascii="Arial" w:hAnsi="Arial" w:cs="Arial"/>
          <w:b/>
          <w:sz w:val="24"/>
          <w:lang w:val="es-MX"/>
        </w:rPr>
        <w:lastRenderedPageBreak/>
        <w:tab/>
      </w:r>
      <w:r w:rsidRPr="001F205F">
        <w:rPr>
          <w:rFonts w:ascii="Arial" w:hAnsi="Arial" w:cs="Arial"/>
          <w:b/>
          <w:sz w:val="24"/>
          <w:lang w:val="es-MX"/>
        </w:rPr>
        <w:tab/>
      </w:r>
      <w:r w:rsidRPr="001F205F">
        <w:rPr>
          <w:rFonts w:ascii="Arial" w:hAnsi="Arial" w:cs="Arial"/>
          <w:b/>
          <w:sz w:val="24"/>
          <w:lang w:val="es-MX"/>
        </w:rPr>
        <w:tab/>
      </w:r>
      <w:r w:rsidRPr="001F205F">
        <w:rPr>
          <w:rFonts w:ascii="Arial" w:hAnsi="Arial" w:cs="Arial"/>
          <w:b/>
          <w:sz w:val="24"/>
          <w:lang w:val="es-MX"/>
        </w:rPr>
        <w:tab/>
      </w:r>
      <w:r w:rsidRPr="001F205F">
        <w:rPr>
          <w:rFonts w:ascii="Arial" w:hAnsi="Arial" w:cs="Arial"/>
          <w:b/>
          <w:sz w:val="24"/>
          <w:lang w:val="es-MX"/>
        </w:rPr>
        <w:tab/>
      </w:r>
      <w:r w:rsidRPr="001F205F">
        <w:rPr>
          <w:rFonts w:ascii="Arial" w:hAnsi="Arial" w:cs="Arial"/>
          <w:b/>
          <w:sz w:val="24"/>
          <w:lang w:val="es-MX"/>
        </w:rPr>
        <w:tab/>
      </w:r>
      <w:r w:rsidRPr="3F9D8079">
        <w:rPr>
          <w:rFonts w:ascii="Arial" w:hAnsi="Arial" w:cs="Arial"/>
          <w:b/>
          <w:bCs/>
          <w:sz w:val="24"/>
          <w:szCs w:val="24"/>
          <w:lang w:val="es-MX"/>
        </w:rPr>
        <w:t xml:space="preserve">ANEXO No. </w:t>
      </w:r>
      <w:r w:rsidR="00134136">
        <w:rPr>
          <w:rFonts w:ascii="Arial" w:hAnsi="Arial" w:cs="Arial"/>
          <w:b/>
          <w:bCs/>
          <w:sz w:val="24"/>
          <w:szCs w:val="24"/>
          <w:lang w:val="es-MX"/>
        </w:rPr>
        <w:t>4</w:t>
      </w:r>
    </w:p>
    <w:p w14:paraId="397606C3" w14:textId="77777777" w:rsidR="00A319C9" w:rsidRDefault="00A319C9" w:rsidP="00D754F9">
      <w:pPr>
        <w:pStyle w:val="Textoindependiente"/>
        <w:jc w:val="center"/>
        <w:rPr>
          <w:rFonts w:ascii="Arial" w:eastAsia="Calibri" w:hAnsi="Arial" w:cs="Arial"/>
          <w:b/>
          <w:szCs w:val="22"/>
          <w:lang w:val="es-MX" w:eastAsia="en-US"/>
        </w:rPr>
      </w:pPr>
    </w:p>
    <w:p w14:paraId="19CC0AFB" w14:textId="491DAEBF" w:rsidR="00D754F9" w:rsidRPr="001F205F" w:rsidRDefault="00D754F9" w:rsidP="00D754F9">
      <w:pPr>
        <w:pStyle w:val="Textoindependiente"/>
        <w:jc w:val="center"/>
        <w:rPr>
          <w:rFonts w:ascii="Arial" w:eastAsia="Calibri" w:hAnsi="Arial" w:cs="Arial"/>
          <w:b/>
          <w:szCs w:val="22"/>
          <w:lang w:val="es-MX" w:eastAsia="en-US"/>
        </w:rPr>
      </w:pPr>
      <w:r w:rsidRPr="001F205F">
        <w:rPr>
          <w:rFonts w:ascii="Arial" w:eastAsia="Calibri" w:hAnsi="Arial" w:cs="Arial"/>
          <w:b/>
          <w:szCs w:val="22"/>
          <w:lang w:val="es-MX" w:eastAsia="en-US"/>
        </w:rPr>
        <w:t>MOTIVOS DE DEVOLUCI</w:t>
      </w:r>
      <w:r w:rsidR="00E34F18">
        <w:rPr>
          <w:rFonts w:ascii="Arial" w:eastAsia="Calibri" w:hAnsi="Arial" w:cs="Arial"/>
          <w:b/>
          <w:szCs w:val="22"/>
          <w:lang w:val="es-MX" w:eastAsia="en-US"/>
        </w:rPr>
        <w:t>Ó</w:t>
      </w:r>
      <w:r w:rsidRPr="001F205F">
        <w:rPr>
          <w:rFonts w:ascii="Arial" w:eastAsia="Calibri" w:hAnsi="Arial" w:cs="Arial"/>
          <w:b/>
          <w:szCs w:val="22"/>
          <w:lang w:val="es-MX" w:eastAsia="en-US"/>
        </w:rPr>
        <w:t>N DE TRAN</w:t>
      </w:r>
      <w:r w:rsidR="00E34F18">
        <w:rPr>
          <w:rFonts w:ascii="Arial" w:eastAsia="Calibri" w:hAnsi="Arial" w:cs="Arial"/>
          <w:b/>
          <w:szCs w:val="22"/>
          <w:lang w:val="es-MX" w:eastAsia="en-US"/>
        </w:rPr>
        <w:t>S</w:t>
      </w:r>
      <w:r w:rsidRPr="001F205F">
        <w:rPr>
          <w:rFonts w:ascii="Arial" w:eastAsia="Calibri" w:hAnsi="Arial" w:cs="Arial"/>
          <w:b/>
          <w:szCs w:val="22"/>
          <w:lang w:val="es-MX" w:eastAsia="en-US"/>
        </w:rPr>
        <w:t>FERENCIAS DE CR</w:t>
      </w:r>
      <w:r w:rsidR="006F23F4">
        <w:rPr>
          <w:rFonts w:ascii="Arial" w:eastAsia="Calibri" w:hAnsi="Arial" w:cs="Arial"/>
          <w:b/>
          <w:szCs w:val="22"/>
          <w:lang w:val="es-MX" w:eastAsia="en-US"/>
        </w:rPr>
        <w:t>É</w:t>
      </w:r>
      <w:r w:rsidRPr="001F205F">
        <w:rPr>
          <w:rFonts w:ascii="Arial" w:eastAsia="Calibri" w:hAnsi="Arial" w:cs="Arial"/>
          <w:b/>
          <w:szCs w:val="22"/>
          <w:lang w:val="es-MX" w:eastAsia="en-US"/>
        </w:rPr>
        <w:t>DITO</w:t>
      </w:r>
    </w:p>
    <w:p w14:paraId="3DC75B44" w14:textId="123D477A" w:rsidR="002F0DC6" w:rsidRDefault="002F0DC6"/>
    <w:tbl>
      <w:tblPr>
        <w:tblStyle w:val="Tablaconcuadrcula"/>
        <w:tblW w:w="8189" w:type="dxa"/>
        <w:jc w:val="center"/>
        <w:tblLayout w:type="fixed"/>
        <w:tblLook w:val="04A0" w:firstRow="1" w:lastRow="0" w:firstColumn="1" w:lastColumn="0" w:noHBand="0" w:noVBand="1"/>
      </w:tblPr>
      <w:tblGrid>
        <w:gridCol w:w="1162"/>
        <w:gridCol w:w="7027"/>
      </w:tblGrid>
      <w:tr w:rsidR="00AF0705" w:rsidRPr="00AF0705" w14:paraId="419DBE13" w14:textId="77777777" w:rsidTr="00AF0705">
        <w:trPr>
          <w:trHeight w:val="244"/>
          <w:jc w:val="center"/>
        </w:trPr>
        <w:tc>
          <w:tcPr>
            <w:tcW w:w="1162" w:type="dxa"/>
            <w:vAlign w:val="center"/>
          </w:tcPr>
          <w:p w14:paraId="36CAF722" w14:textId="77777777" w:rsidR="00AF0705" w:rsidRPr="00AF0705" w:rsidRDefault="00AF0705" w:rsidP="003E1DCD">
            <w:pPr>
              <w:pStyle w:val="Standardtext"/>
              <w:spacing w:before="0"/>
              <w:ind w:left="-78"/>
              <w:jc w:val="center"/>
              <w:rPr>
                <w:rFonts w:ascii="Museo Sans 300" w:hAnsi="Museo Sans 300" w:cs="Arial"/>
                <w:b/>
                <w:bCs/>
                <w:sz w:val="24"/>
                <w:szCs w:val="24"/>
                <w:lang w:val="es-MX"/>
              </w:rPr>
            </w:pPr>
            <w:r w:rsidRPr="00AF0705">
              <w:rPr>
                <w:rFonts w:ascii="Museo Sans 300" w:hAnsi="Museo Sans 300" w:cs="Arial"/>
                <w:b/>
                <w:bCs/>
                <w:sz w:val="24"/>
                <w:szCs w:val="24"/>
                <w:lang w:val="es-MX"/>
              </w:rPr>
              <w:t>Código</w:t>
            </w:r>
          </w:p>
        </w:tc>
        <w:tc>
          <w:tcPr>
            <w:tcW w:w="7027" w:type="dxa"/>
            <w:vAlign w:val="center"/>
          </w:tcPr>
          <w:p w14:paraId="2377AFBD" w14:textId="77777777" w:rsidR="00AF0705" w:rsidRPr="00AF0705" w:rsidRDefault="00AF0705" w:rsidP="003E1DCD">
            <w:pPr>
              <w:pStyle w:val="Standardtext"/>
              <w:spacing w:before="0"/>
              <w:ind w:left="-78"/>
              <w:jc w:val="center"/>
              <w:rPr>
                <w:rFonts w:ascii="Museo Sans 300" w:hAnsi="Museo Sans 300" w:cs="Arial"/>
                <w:b/>
                <w:bCs/>
                <w:sz w:val="24"/>
                <w:szCs w:val="24"/>
                <w:lang w:val="es-MX"/>
              </w:rPr>
            </w:pPr>
            <w:r w:rsidRPr="00AF0705">
              <w:rPr>
                <w:rFonts w:ascii="Museo Sans 300" w:hAnsi="Museo Sans 300" w:cs="Arial"/>
                <w:b/>
                <w:bCs/>
                <w:sz w:val="24"/>
                <w:szCs w:val="24"/>
                <w:lang w:val="es-MX"/>
              </w:rPr>
              <w:t>Descripción</w:t>
            </w:r>
          </w:p>
        </w:tc>
      </w:tr>
      <w:tr w:rsidR="00AF0705" w:rsidRPr="00AF0705" w14:paraId="73B4053F" w14:textId="77777777" w:rsidTr="00AF0705">
        <w:trPr>
          <w:trHeight w:val="257"/>
          <w:jc w:val="center"/>
        </w:trPr>
        <w:tc>
          <w:tcPr>
            <w:tcW w:w="1162" w:type="dxa"/>
            <w:vAlign w:val="center"/>
          </w:tcPr>
          <w:p w14:paraId="5B91C5A1"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AC01</w:t>
            </w:r>
          </w:p>
        </w:tc>
        <w:tc>
          <w:tcPr>
            <w:tcW w:w="7027" w:type="dxa"/>
            <w:vAlign w:val="center"/>
          </w:tcPr>
          <w:p w14:paraId="02578C75"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Número de cuenta incorrecta y/o no existe</w:t>
            </w:r>
          </w:p>
        </w:tc>
      </w:tr>
      <w:tr w:rsidR="00AF0705" w:rsidRPr="00AF0705" w14:paraId="1E3DD0FB" w14:textId="77777777" w:rsidTr="00AF0705">
        <w:trPr>
          <w:trHeight w:val="271"/>
          <w:jc w:val="center"/>
        </w:trPr>
        <w:tc>
          <w:tcPr>
            <w:tcW w:w="1162" w:type="dxa"/>
            <w:vAlign w:val="center"/>
          </w:tcPr>
          <w:p w14:paraId="5C3A2A30"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AC04</w:t>
            </w:r>
          </w:p>
        </w:tc>
        <w:tc>
          <w:tcPr>
            <w:tcW w:w="7027" w:type="dxa"/>
            <w:vAlign w:val="center"/>
          </w:tcPr>
          <w:p w14:paraId="3E715E5C"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Número de Cuenta Cerrada o Cancelada</w:t>
            </w:r>
          </w:p>
        </w:tc>
      </w:tr>
      <w:tr w:rsidR="00AF0705" w:rsidRPr="00AF0705" w14:paraId="0C8BC6CC" w14:textId="77777777" w:rsidTr="00AF0705">
        <w:trPr>
          <w:trHeight w:val="257"/>
          <w:jc w:val="center"/>
        </w:trPr>
        <w:tc>
          <w:tcPr>
            <w:tcW w:w="1162" w:type="dxa"/>
            <w:vAlign w:val="center"/>
          </w:tcPr>
          <w:p w14:paraId="4486F3B1"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AC06</w:t>
            </w:r>
          </w:p>
        </w:tc>
        <w:tc>
          <w:tcPr>
            <w:tcW w:w="7027" w:type="dxa"/>
            <w:vAlign w:val="center"/>
          </w:tcPr>
          <w:p w14:paraId="083FA439"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Cuenta Bloqueada o inactiva</w:t>
            </w:r>
          </w:p>
        </w:tc>
      </w:tr>
      <w:tr w:rsidR="00AF0705" w:rsidRPr="00AF0705" w14:paraId="4C8A6FB2" w14:textId="77777777" w:rsidTr="00AF0705">
        <w:trPr>
          <w:trHeight w:val="271"/>
          <w:jc w:val="center"/>
        </w:trPr>
        <w:tc>
          <w:tcPr>
            <w:tcW w:w="1162" w:type="dxa"/>
            <w:vAlign w:val="center"/>
          </w:tcPr>
          <w:p w14:paraId="69563A67"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AG01</w:t>
            </w:r>
          </w:p>
        </w:tc>
        <w:tc>
          <w:tcPr>
            <w:tcW w:w="7027" w:type="dxa"/>
            <w:vAlign w:val="center"/>
          </w:tcPr>
          <w:p w14:paraId="2C0B6766"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Transferencia Prohibida</w:t>
            </w:r>
          </w:p>
        </w:tc>
      </w:tr>
      <w:tr w:rsidR="00AF0705" w:rsidRPr="00AF0705" w14:paraId="1259A783" w14:textId="77777777" w:rsidTr="00AF0705">
        <w:trPr>
          <w:trHeight w:val="257"/>
          <w:jc w:val="center"/>
        </w:trPr>
        <w:tc>
          <w:tcPr>
            <w:tcW w:w="1162" w:type="dxa"/>
            <w:vAlign w:val="center"/>
          </w:tcPr>
          <w:p w14:paraId="75EBEFFB"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AG02</w:t>
            </w:r>
          </w:p>
        </w:tc>
        <w:tc>
          <w:tcPr>
            <w:tcW w:w="7027" w:type="dxa"/>
            <w:vAlign w:val="center"/>
          </w:tcPr>
          <w:p w14:paraId="776254BC"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Código de Operación de Banco Inválido</w:t>
            </w:r>
          </w:p>
        </w:tc>
      </w:tr>
      <w:tr w:rsidR="00AF0705" w:rsidRPr="00AF0705" w14:paraId="1FD27FA9" w14:textId="77777777" w:rsidTr="00AF0705">
        <w:trPr>
          <w:trHeight w:val="271"/>
          <w:jc w:val="center"/>
        </w:trPr>
        <w:tc>
          <w:tcPr>
            <w:tcW w:w="1162" w:type="dxa"/>
            <w:vAlign w:val="center"/>
          </w:tcPr>
          <w:p w14:paraId="147BFFC5"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AM04</w:t>
            </w:r>
          </w:p>
        </w:tc>
        <w:tc>
          <w:tcPr>
            <w:tcW w:w="7027" w:type="dxa"/>
            <w:vAlign w:val="center"/>
          </w:tcPr>
          <w:p w14:paraId="740FDE5D"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Fondos Insuficientes</w:t>
            </w:r>
          </w:p>
        </w:tc>
      </w:tr>
      <w:tr w:rsidR="00AF0705" w:rsidRPr="00AF0705" w14:paraId="0D6FDF03" w14:textId="77777777" w:rsidTr="00AF0705">
        <w:trPr>
          <w:trHeight w:val="257"/>
          <w:jc w:val="center"/>
        </w:trPr>
        <w:tc>
          <w:tcPr>
            <w:tcW w:w="1162" w:type="dxa"/>
            <w:vAlign w:val="center"/>
          </w:tcPr>
          <w:p w14:paraId="69784332"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AM05</w:t>
            </w:r>
          </w:p>
        </w:tc>
        <w:tc>
          <w:tcPr>
            <w:tcW w:w="7027" w:type="dxa"/>
            <w:vAlign w:val="center"/>
          </w:tcPr>
          <w:p w14:paraId="45B6B5F9"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Duplicado</w:t>
            </w:r>
          </w:p>
        </w:tc>
      </w:tr>
      <w:tr w:rsidR="00AF0705" w:rsidRPr="00AF0705" w14:paraId="6BF0D2D4" w14:textId="77777777" w:rsidTr="00AF0705">
        <w:trPr>
          <w:trHeight w:val="271"/>
          <w:jc w:val="center"/>
        </w:trPr>
        <w:tc>
          <w:tcPr>
            <w:tcW w:w="1162" w:type="dxa"/>
            <w:vAlign w:val="center"/>
          </w:tcPr>
          <w:p w14:paraId="17CB297E"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BE04</w:t>
            </w:r>
          </w:p>
        </w:tc>
        <w:tc>
          <w:tcPr>
            <w:tcW w:w="7027" w:type="dxa"/>
            <w:vAlign w:val="center"/>
          </w:tcPr>
          <w:p w14:paraId="6803917A"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Dirección de acreedor faltante</w:t>
            </w:r>
          </w:p>
        </w:tc>
      </w:tr>
      <w:tr w:rsidR="00AF0705" w:rsidRPr="00AF0705" w14:paraId="60228935" w14:textId="77777777" w:rsidTr="00AF0705">
        <w:trPr>
          <w:trHeight w:val="257"/>
          <w:jc w:val="center"/>
        </w:trPr>
        <w:tc>
          <w:tcPr>
            <w:tcW w:w="1162" w:type="dxa"/>
            <w:vAlign w:val="center"/>
          </w:tcPr>
          <w:p w14:paraId="10D5033C"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MD07</w:t>
            </w:r>
          </w:p>
        </w:tc>
        <w:tc>
          <w:tcPr>
            <w:tcW w:w="7027" w:type="dxa"/>
            <w:vAlign w:val="center"/>
          </w:tcPr>
          <w:p w14:paraId="56E9BDC8"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Cliente Final Fallecido</w:t>
            </w:r>
          </w:p>
        </w:tc>
      </w:tr>
      <w:tr w:rsidR="00AF0705" w:rsidRPr="00AF0705" w14:paraId="408F3230" w14:textId="77777777" w:rsidTr="00AF0705">
        <w:trPr>
          <w:trHeight w:val="271"/>
          <w:jc w:val="center"/>
        </w:trPr>
        <w:tc>
          <w:tcPr>
            <w:tcW w:w="1162" w:type="dxa"/>
            <w:vAlign w:val="center"/>
          </w:tcPr>
          <w:p w14:paraId="27F69125"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MS02</w:t>
            </w:r>
          </w:p>
        </w:tc>
        <w:tc>
          <w:tcPr>
            <w:tcW w:w="7027" w:type="dxa"/>
            <w:vAlign w:val="center"/>
          </w:tcPr>
          <w:p w14:paraId="392AF895"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Razón No Especificada Generada por el Cliente</w:t>
            </w:r>
          </w:p>
        </w:tc>
      </w:tr>
      <w:tr w:rsidR="00AF0705" w:rsidRPr="00AF0705" w14:paraId="6C58A3E9" w14:textId="77777777" w:rsidTr="00AF0705">
        <w:trPr>
          <w:trHeight w:val="257"/>
          <w:jc w:val="center"/>
        </w:trPr>
        <w:tc>
          <w:tcPr>
            <w:tcW w:w="1162" w:type="dxa"/>
            <w:vAlign w:val="center"/>
          </w:tcPr>
          <w:p w14:paraId="50852EE8"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MS03</w:t>
            </w:r>
          </w:p>
        </w:tc>
        <w:tc>
          <w:tcPr>
            <w:tcW w:w="7027" w:type="dxa"/>
            <w:vAlign w:val="center"/>
          </w:tcPr>
          <w:p w14:paraId="20656176"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Razón No Especificada Generada por el Agente</w:t>
            </w:r>
          </w:p>
        </w:tc>
      </w:tr>
      <w:tr w:rsidR="00AF0705" w:rsidRPr="00AF0705" w14:paraId="6F1F148E" w14:textId="77777777" w:rsidTr="00AF0705">
        <w:trPr>
          <w:trHeight w:val="271"/>
          <w:jc w:val="center"/>
        </w:trPr>
        <w:tc>
          <w:tcPr>
            <w:tcW w:w="1162" w:type="dxa"/>
            <w:vAlign w:val="center"/>
          </w:tcPr>
          <w:p w14:paraId="1F951CC1"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RC01</w:t>
            </w:r>
          </w:p>
        </w:tc>
        <w:tc>
          <w:tcPr>
            <w:tcW w:w="7027" w:type="dxa"/>
            <w:vAlign w:val="center"/>
          </w:tcPr>
          <w:p w14:paraId="367CDC60"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Identificador de Banco Incorrecto</w:t>
            </w:r>
          </w:p>
        </w:tc>
      </w:tr>
      <w:tr w:rsidR="00AF0705" w:rsidRPr="00AF0705" w14:paraId="053F9881" w14:textId="77777777" w:rsidTr="00AF0705">
        <w:trPr>
          <w:trHeight w:val="257"/>
          <w:jc w:val="center"/>
        </w:trPr>
        <w:tc>
          <w:tcPr>
            <w:tcW w:w="1162" w:type="dxa"/>
            <w:vAlign w:val="center"/>
          </w:tcPr>
          <w:p w14:paraId="166488F2"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RR01</w:t>
            </w:r>
          </w:p>
        </w:tc>
        <w:tc>
          <w:tcPr>
            <w:tcW w:w="7027" w:type="dxa"/>
            <w:vAlign w:val="center"/>
          </w:tcPr>
          <w:p w14:paraId="29E65B0C"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Identificación o Cuenta de Deudor Faltante</w:t>
            </w:r>
          </w:p>
        </w:tc>
      </w:tr>
      <w:tr w:rsidR="00AF0705" w:rsidRPr="00AF0705" w14:paraId="03D8A017" w14:textId="77777777" w:rsidTr="00AF0705">
        <w:trPr>
          <w:trHeight w:val="271"/>
          <w:jc w:val="center"/>
        </w:trPr>
        <w:tc>
          <w:tcPr>
            <w:tcW w:w="1162" w:type="dxa"/>
            <w:vAlign w:val="center"/>
          </w:tcPr>
          <w:p w14:paraId="73CA48BA"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RR02</w:t>
            </w:r>
          </w:p>
        </w:tc>
        <w:tc>
          <w:tcPr>
            <w:tcW w:w="7027" w:type="dxa"/>
            <w:vAlign w:val="center"/>
          </w:tcPr>
          <w:p w14:paraId="32550CCB"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Nombre o Dirección de Deudor Faltante</w:t>
            </w:r>
          </w:p>
        </w:tc>
      </w:tr>
      <w:tr w:rsidR="00AF0705" w:rsidRPr="00AF0705" w14:paraId="1C514F7A" w14:textId="77777777" w:rsidTr="00AF0705">
        <w:trPr>
          <w:trHeight w:val="257"/>
          <w:jc w:val="center"/>
        </w:trPr>
        <w:tc>
          <w:tcPr>
            <w:tcW w:w="1162" w:type="dxa"/>
            <w:vAlign w:val="center"/>
          </w:tcPr>
          <w:p w14:paraId="28824BC1"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RR03</w:t>
            </w:r>
          </w:p>
        </w:tc>
        <w:tc>
          <w:tcPr>
            <w:tcW w:w="7027" w:type="dxa"/>
            <w:vAlign w:val="center"/>
          </w:tcPr>
          <w:p w14:paraId="29A0E3D6"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Nombre o Dirección de Acreedor Faltante</w:t>
            </w:r>
          </w:p>
        </w:tc>
      </w:tr>
      <w:tr w:rsidR="00AF0705" w:rsidRPr="00AF0705" w14:paraId="6C93ACF4" w14:textId="77777777" w:rsidTr="00AF0705">
        <w:trPr>
          <w:trHeight w:val="94"/>
          <w:jc w:val="center"/>
        </w:trPr>
        <w:tc>
          <w:tcPr>
            <w:tcW w:w="1162" w:type="dxa"/>
            <w:vAlign w:val="center"/>
          </w:tcPr>
          <w:p w14:paraId="7662C0C7"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RR04</w:t>
            </w:r>
          </w:p>
        </w:tc>
        <w:tc>
          <w:tcPr>
            <w:tcW w:w="7027" w:type="dxa"/>
            <w:vAlign w:val="center"/>
          </w:tcPr>
          <w:p w14:paraId="458A7ABE"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Razón Regulatoria</w:t>
            </w:r>
          </w:p>
        </w:tc>
      </w:tr>
      <w:tr w:rsidR="00AF0705" w:rsidRPr="00AF0705" w14:paraId="703AB1A1" w14:textId="77777777" w:rsidTr="00AF0705">
        <w:trPr>
          <w:trHeight w:val="94"/>
          <w:jc w:val="center"/>
        </w:trPr>
        <w:tc>
          <w:tcPr>
            <w:tcW w:w="1162" w:type="dxa"/>
            <w:vAlign w:val="center"/>
          </w:tcPr>
          <w:p w14:paraId="785EF5FD"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SV02</w:t>
            </w:r>
          </w:p>
        </w:tc>
        <w:tc>
          <w:tcPr>
            <w:tcW w:w="7027" w:type="dxa"/>
            <w:vAlign w:val="center"/>
          </w:tcPr>
          <w:p w14:paraId="6E0FD3BB"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 xml:space="preserve">Cuenta Estándar No Válida </w:t>
            </w:r>
          </w:p>
        </w:tc>
      </w:tr>
      <w:tr w:rsidR="00AF0705" w:rsidRPr="00AF0705" w14:paraId="6A9B0B35" w14:textId="77777777" w:rsidTr="00AF0705">
        <w:trPr>
          <w:trHeight w:val="94"/>
          <w:jc w:val="center"/>
        </w:trPr>
        <w:tc>
          <w:tcPr>
            <w:tcW w:w="1162" w:type="dxa"/>
            <w:vAlign w:val="center"/>
          </w:tcPr>
          <w:p w14:paraId="16BD61B4"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SV03</w:t>
            </w:r>
          </w:p>
        </w:tc>
        <w:tc>
          <w:tcPr>
            <w:tcW w:w="7027" w:type="dxa"/>
            <w:vAlign w:val="center"/>
          </w:tcPr>
          <w:p w14:paraId="7A5A05BD"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 xml:space="preserve">Otros </w:t>
            </w:r>
          </w:p>
        </w:tc>
      </w:tr>
      <w:tr w:rsidR="00AF0705" w:rsidRPr="00AF0705" w14:paraId="29DA57FD" w14:textId="77777777" w:rsidTr="00AF0705">
        <w:trPr>
          <w:trHeight w:val="94"/>
          <w:jc w:val="center"/>
        </w:trPr>
        <w:tc>
          <w:tcPr>
            <w:tcW w:w="1162" w:type="dxa"/>
            <w:vAlign w:val="center"/>
          </w:tcPr>
          <w:p w14:paraId="5909F1A7"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SV04</w:t>
            </w:r>
          </w:p>
        </w:tc>
        <w:tc>
          <w:tcPr>
            <w:tcW w:w="7027" w:type="dxa"/>
            <w:vAlign w:val="center"/>
          </w:tcPr>
          <w:p w14:paraId="6D88881B"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 xml:space="preserve">Coincidencia en listas negras </w:t>
            </w:r>
          </w:p>
        </w:tc>
      </w:tr>
      <w:tr w:rsidR="00AF0705" w:rsidRPr="00AF0705" w14:paraId="315615B7" w14:textId="77777777" w:rsidTr="00AF0705">
        <w:trPr>
          <w:trHeight w:val="94"/>
          <w:jc w:val="center"/>
        </w:trPr>
        <w:tc>
          <w:tcPr>
            <w:tcW w:w="1162" w:type="dxa"/>
            <w:vAlign w:val="center"/>
          </w:tcPr>
          <w:p w14:paraId="386E5935"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SV05</w:t>
            </w:r>
          </w:p>
        </w:tc>
        <w:tc>
          <w:tcPr>
            <w:tcW w:w="7027" w:type="dxa"/>
            <w:vAlign w:val="center"/>
          </w:tcPr>
          <w:p w14:paraId="7C6106FD" w14:textId="04869775" w:rsidR="00AF0705" w:rsidRPr="00AF0705" w:rsidRDefault="00DC3C53" w:rsidP="003E1DCD">
            <w:pPr>
              <w:pStyle w:val="Standardtext"/>
              <w:spacing w:before="0"/>
              <w:ind w:left="-78"/>
              <w:jc w:val="both"/>
              <w:rPr>
                <w:rFonts w:ascii="Museo Sans 300" w:hAnsi="Museo Sans 300" w:cs="Arial"/>
                <w:lang w:val="es-MX"/>
              </w:rPr>
            </w:pPr>
            <w:r>
              <w:rPr>
                <w:rFonts w:ascii="Museo Sans 300" w:hAnsi="Museo Sans 300" w:cs="Arial"/>
                <w:lang w:val="es-MX"/>
              </w:rPr>
              <w:t>Producto Restringido</w:t>
            </w:r>
          </w:p>
        </w:tc>
      </w:tr>
      <w:tr w:rsidR="00AF0705" w:rsidRPr="00AF0705" w14:paraId="5055BF91" w14:textId="77777777" w:rsidTr="00AF0705">
        <w:trPr>
          <w:trHeight w:val="257"/>
          <w:jc w:val="center"/>
        </w:trPr>
        <w:tc>
          <w:tcPr>
            <w:tcW w:w="1162" w:type="dxa"/>
            <w:vAlign w:val="center"/>
          </w:tcPr>
          <w:p w14:paraId="4E8BE66B"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SV06</w:t>
            </w:r>
          </w:p>
        </w:tc>
        <w:tc>
          <w:tcPr>
            <w:tcW w:w="7027" w:type="dxa"/>
            <w:vAlign w:val="bottom"/>
          </w:tcPr>
          <w:p w14:paraId="68138803"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Número de celular no vinculado a cuenta bancaria</w:t>
            </w:r>
          </w:p>
        </w:tc>
      </w:tr>
      <w:tr w:rsidR="00AF0705" w:rsidRPr="00AF0705" w14:paraId="3E1619DF" w14:textId="77777777" w:rsidTr="00AF0705">
        <w:trPr>
          <w:trHeight w:val="94"/>
          <w:jc w:val="center"/>
        </w:trPr>
        <w:tc>
          <w:tcPr>
            <w:tcW w:w="1162" w:type="dxa"/>
            <w:vAlign w:val="center"/>
          </w:tcPr>
          <w:p w14:paraId="04A30DC6"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SV07</w:t>
            </w:r>
          </w:p>
        </w:tc>
        <w:tc>
          <w:tcPr>
            <w:tcW w:w="7027" w:type="dxa"/>
            <w:vAlign w:val="bottom"/>
          </w:tcPr>
          <w:p w14:paraId="44103D8D" w14:textId="1A2495C0" w:rsidR="00AF0705" w:rsidRPr="00AF0705" w:rsidRDefault="00AF0705" w:rsidP="00AF0705">
            <w:pPr>
              <w:pStyle w:val="Standardtext"/>
              <w:spacing w:before="0"/>
              <w:ind w:left="-78"/>
              <w:jc w:val="both"/>
              <w:rPr>
                <w:rFonts w:ascii="Museo Sans 300" w:hAnsi="Museo Sans 300" w:cs="Arial"/>
                <w:lang w:val="es-MX"/>
              </w:rPr>
            </w:pPr>
            <w:r w:rsidRPr="00AF0705">
              <w:rPr>
                <w:rFonts w:ascii="Museo Sans 300" w:hAnsi="Museo Sans 300" w:cs="Arial"/>
                <w:lang w:val="es-MX"/>
              </w:rPr>
              <w:t>Cuenta destino no es consistente con tipo de producto</w:t>
            </w:r>
          </w:p>
        </w:tc>
      </w:tr>
      <w:tr w:rsidR="00AF0705" w:rsidRPr="00AF0705" w14:paraId="116DD46A" w14:textId="77777777" w:rsidTr="00AF0705">
        <w:trPr>
          <w:trHeight w:val="94"/>
          <w:jc w:val="center"/>
        </w:trPr>
        <w:tc>
          <w:tcPr>
            <w:tcW w:w="1162" w:type="dxa"/>
            <w:vAlign w:val="center"/>
          </w:tcPr>
          <w:p w14:paraId="70EB5D12"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SV08</w:t>
            </w:r>
          </w:p>
        </w:tc>
        <w:tc>
          <w:tcPr>
            <w:tcW w:w="7027" w:type="dxa"/>
            <w:vAlign w:val="bottom"/>
          </w:tcPr>
          <w:p w14:paraId="105E6C4F"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Excede Límite permitido</w:t>
            </w:r>
          </w:p>
        </w:tc>
      </w:tr>
      <w:tr w:rsidR="00AF0705" w:rsidRPr="00AF0705" w14:paraId="55DFC901" w14:textId="77777777" w:rsidTr="00AF0705">
        <w:trPr>
          <w:trHeight w:val="94"/>
          <w:jc w:val="center"/>
        </w:trPr>
        <w:tc>
          <w:tcPr>
            <w:tcW w:w="1162" w:type="dxa"/>
            <w:vAlign w:val="center"/>
          </w:tcPr>
          <w:p w14:paraId="3D7AA573" w14:textId="77777777" w:rsidR="00AF0705" w:rsidRPr="00AF0705" w:rsidRDefault="00AF0705" w:rsidP="003E1DCD">
            <w:pPr>
              <w:pStyle w:val="Standardtext"/>
              <w:spacing w:before="0"/>
              <w:ind w:left="-78"/>
              <w:jc w:val="both"/>
              <w:rPr>
                <w:rFonts w:ascii="Museo Sans 300" w:hAnsi="Museo Sans 300" w:cs="Arial"/>
                <w:lang w:val="es-MX"/>
              </w:rPr>
            </w:pPr>
            <w:r w:rsidRPr="00AF0705">
              <w:rPr>
                <w:rFonts w:ascii="Museo Sans 300" w:hAnsi="Museo Sans 300" w:cs="Arial"/>
                <w:lang w:val="es-MX"/>
              </w:rPr>
              <w:t>SV09</w:t>
            </w:r>
          </w:p>
        </w:tc>
        <w:tc>
          <w:tcPr>
            <w:tcW w:w="7027" w:type="dxa"/>
            <w:vAlign w:val="bottom"/>
          </w:tcPr>
          <w:p w14:paraId="2529F66F" w14:textId="77777777" w:rsidR="00AF0705" w:rsidRPr="00AF0705" w:rsidRDefault="00AF0705" w:rsidP="003E1DCD">
            <w:pPr>
              <w:pStyle w:val="Standardtext"/>
              <w:spacing w:before="0"/>
              <w:ind w:left="-78"/>
              <w:jc w:val="both"/>
              <w:rPr>
                <w:rFonts w:ascii="Museo Sans 300" w:hAnsi="Museo Sans 300" w:cs="Arial"/>
                <w:strike/>
                <w:lang w:val="es-MX"/>
              </w:rPr>
            </w:pPr>
            <w:r w:rsidRPr="00AF0705">
              <w:rPr>
                <w:rFonts w:ascii="Museo Sans 300" w:hAnsi="Museo Sans 300" w:cs="Arial"/>
                <w:lang w:val="es-MX"/>
              </w:rPr>
              <w:t>El número de cuenta acreedor no cumple con el estándar IBAN</w:t>
            </w:r>
          </w:p>
        </w:tc>
      </w:tr>
      <w:tr w:rsidR="005A2D71" w:rsidRPr="00AF0705" w14:paraId="58B31168" w14:textId="77777777" w:rsidTr="00AF0705">
        <w:trPr>
          <w:trHeight w:val="94"/>
          <w:jc w:val="center"/>
        </w:trPr>
        <w:tc>
          <w:tcPr>
            <w:tcW w:w="1162" w:type="dxa"/>
            <w:vAlign w:val="center"/>
          </w:tcPr>
          <w:p w14:paraId="4128A06E" w14:textId="171165CB" w:rsidR="005A2D71" w:rsidRPr="00AF0705" w:rsidRDefault="005A2D71" w:rsidP="003E1DCD">
            <w:pPr>
              <w:pStyle w:val="Standardtext"/>
              <w:spacing w:before="0"/>
              <w:ind w:left="-78"/>
              <w:jc w:val="both"/>
              <w:rPr>
                <w:rFonts w:ascii="Museo Sans 300" w:hAnsi="Museo Sans 300" w:cs="Arial"/>
                <w:lang w:val="es-MX"/>
              </w:rPr>
            </w:pPr>
            <w:r>
              <w:rPr>
                <w:rFonts w:ascii="Museo Sans 300" w:hAnsi="Museo Sans 300" w:cs="Arial"/>
                <w:lang w:val="es-MX"/>
              </w:rPr>
              <w:t>SV10</w:t>
            </w:r>
          </w:p>
        </w:tc>
        <w:tc>
          <w:tcPr>
            <w:tcW w:w="7027" w:type="dxa"/>
            <w:vAlign w:val="bottom"/>
          </w:tcPr>
          <w:p w14:paraId="4E9F84B6" w14:textId="260A1EBC" w:rsidR="005A2D71" w:rsidRPr="00AF0705" w:rsidRDefault="0068700D" w:rsidP="003E1DCD">
            <w:pPr>
              <w:pStyle w:val="Standardtext"/>
              <w:spacing w:before="0"/>
              <w:ind w:left="-78"/>
              <w:jc w:val="both"/>
              <w:rPr>
                <w:rFonts w:ascii="Museo Sans 300" w:hAnsi="Museo Sans 300" w:cs="Arial"/>
                <w:lang w:val="es-MX"/>
              </w:rPr>
            </w:pPr>
            <w:r w:rsidRPr="0068700D">
              <w:rPr>
                <w:rFonts w:ascii="Museo Sans 300" w:hAnsi="Museo Sans 300" w:cs="Arial"/>
                <w:lang w:val="es-MX"/>
              </w:rPr>
              <w:t>Producto no existe</w:t>
            </w:r>
            <w:r w:rsidRPr="003020B6">
              <w:rPr>
                <w:rFonts w:ascii="Museo Sans 300" w:hAnsi="Museo Sans 300" w:cs="Arial"/>
                <w:lang w:val="es-MX"/>
              </w:rPr>
              <w:t xml:space="preserve"> </w:t>
            </w:r>
            <w:r w:rsidR="003020B6">
              <w:rPr>
                <w:rFonts w:ascii="Museo Sans 300" w:hAnsi="Museo Sans 300" w:cs="Arial"/>
                <w:lang w:val="es-MX"/>
              </w:rPr>
              <w:t xml:space="preserve">en la entidad </w:t>
            </w:r>
            <w:r w:rsidR="009A4727">
              <w:rPr>
                <w:rFonts w:ascii="Museo Sans 300" w:hAnsi="Museo Sans 300" w:cs="Arial"/>
                <w:lang w:val="es-MX"/>
              </w:rPr>
              <w:t xml:space="preserve">destino </w:t>
            </w:r>
          </w:p>
        </w:tc>
      </w:tr>
    </w:tbl>
    <w:p w14:paraId="53EBD03C" w14:textId="109743C0" w:rsidR="00AF0705" w:rsidRDefault="00AF0705">
      <w:r>
        <w:lastRenderedPageBreak/>
        <w:t xml:space="preserve"> </w:t>
      </w:r>
    </w:p>
    <w:p w14:paraId="6CBA4E96" w14:textId="3321E30A" w:rsidR="004D7B74" w:rsidRPr="001F205F" w:rsidRDefault="004D7B74" w:rsidP="004D7B74">
      <w:pPr>
        <w:pStyle w:val="Standardtext"/>
        <w:ind w:left="1776"/>
        <w:jc w:val="right"/>
        <w:rPr>
          <w:rFonts w:ascii="Arial" w:hAnsi="Arial" w:cs="Arial"/>
          <w:b/>
          <w:sz w:val="24"/>
          <w:lang w:val="es-MX"/>
        </w:rPr>
      </w:pPr>
      <w:r w:rsidRPr="3F9D8079">
        <w:rPr>
          <w:rFonts w:ascii="Arial" w:hAnsi="Arial" w:cs="Arial"/>
          <w:b/>
          <w:bCs/>
          <w:sz w:val="24"/>
          <w:szCs w:val="24"/>
          <w:lang w:val="es-MX"/>
        </w:rPr>
        <w:t xml:space="preserve">ANEXO No. </w:t>
      </w:r>
      <w:r>
        <w:rPr>
          <w:rFonts w:ascii="Arial" w:hAnsi="Arial" w:cs="Arial"/>
          <w:b/>
          <w:bCs/>
          <w:sz w:val="24"/>
          <w:szCs w:val="24"/>
          <w:lang w:val="es-MX"/>
        </w:rPr>
        <w:t>5</w:t>
      </w:r>
    </w:p>
    <w:p w14:paraId="4265B499" w14:textId="77777777" w:rsidR="004D7B74" w:rsidRDefault="004D7B74" w:rsidP="004D7B74">
      <w:pPr>
        <w:pStyle w:val="Textoindependiente"/>
        <w:jc w:val="center"/>
        <w:rPr>
          <w:rFonts w:ascii="Arial" w:eastAsia="Calibri" w:hAnsi="Arial" w:cs="Arial"/>
          <w:b/>
          <w:szCs w:val="22"/>
          <w:lang w:val="es-MX" w:eastAsia="en-US"/>
        </w:rPr>
      </w:pPr>
    </w:p>
    <w:p w14:paraId="03A36D1D" w14:textId="018303E8" w:rsidR="004D7B74" w:rsidRPr="004D7B74" w:rsidRDefault="004D7B74" w:rsidP="004D7B74">
      <w:pPr>
        <w:pStyle w:val="Textoindependiente"/>
        <w:jc w:val="center"/>
        <w:rPr>
          <w:rFonts w:ascii="Arial" w:eastAsia="Calibri" w:hAnsi="Arial" w:cs="Arial"/>
          <w:b/>
          <w:szCs w:val="22"/>
          <w:lang w:val="es-MX" w:eastAsia="en-US"/>
        </w:rPr>
      </w:pPr>
      <w:bookmarkStart w:id="104" w:name="_Hlk24017097"/>
      <w:r w:rsidRPr="004D7B74">
        <w:rPr>
          <w:rFonts w:ascii="Arial" w:eastAsia="Calibri" w:hAnsi="Arial" w:cs="Arial"/>
          <w:b/>
          <w:szCs w:val="22"/>
          <w:lang w:val="es-MX" w:eastAsia="en-US"/>
        </w:rPr>
        <w:t>HORARIOS DE CICLOS DE LIQUIDACIÓN</w:t>
      </w:r>
    </w:p>
    <w:p w14:paraId="2F9D9A39" w14:textId="77777777" w:rsidR="004D7B74" w:rsidRPr="004D7B74" w:rsidRDefault="004D7B74" w:rsidP="004D7B74">
      <w:pPr>
        <w:pStyle w:val="Textoindependiente"/>
        <w:jc w:val="center"/>
        <w:rPr>
          <w:rFonts w:ascii="Arial" w:eastAsia="Calibri" w:hAnsi="Arial" w:cs="Arial"/>
          <w:b/>
          <w:szCs w:val="22"/>
          <w:u w:val="single"/>
          <w:lang w:val="es-MX" w:eastAsia="en-US"/>
        </w:rPr>
      </w:pPr>
      <w:r w:rsidRPr="004D7B74">
        <w:rPr>
          <w:rFonts w:ascii="Arial" w:eastAsia="Calibri" w:hAnsi="Arial" w:cs="Arial"/>
          <w:b/>
          <w:szCs w:val="22"/>
          <w:u w:val="single"/>
          <w:lang w:val="es-MX" w:eastAsia="en-US"/>
        </w:rPr>
        <w:t>Proceso de Liquidación Neto</w:t>
      </w:r>
    </w:p>
    <w:bookmarkEnd w:id="104"/>
    <w:p w14:paraId="5BD023D5" w14:textId="0F762DE3" w:rsidR="00441848" w:rsidRDefault="00441848" w:rsidP="004D7B74">
      <w:pPr>
        <w:spacing w:after="200" w:line="276" w:lineRule="auto"/>
        <w:rPr>
          <w:lang w:val="es-MX"/>
        </w:rPr>
      </w:pPr>
    </w:p>
    <w:tbl>
      <w:tblPr>
        <w:tblStyle w:val="Tablanormal1"/>
        <w:tblW w:w="9155" w:type="dxa"/>
        <w:jc w:val="center"/>
        <w:tblLayout w:type="fixed"/>
        <w:tblLook w:val="04A0" w:firstRow="1" w:lastRow="0" w:firstColumn="1" w:lastColumn="0" w:noHBand="0" w:noVBand="1"/>
      </w:tblPr>
      <w:tblGrid>
        <w:gridCol w:w="3114"/>
        <w:gridCol w:w="1559"/>
        <w:gridCol w:w="1418"/>
        <w:gridCol w:w="1417"/>
        <w:gridCol w:w="1647"/>
      </w:tblGrid>
      <w:tr w:rsidR="00EB4078" w:rsidRPr="004D7B74" w14:paraId="7E5A3C02" w14:textId="77777777" w:rsidTr="00EB4078">
        <w:trPr>
          <w:cnfStyle w:val="100000000000" w:firstRow="1" w:lastRow="0" w:firstColumn="0" w:lastColumn="0" w:oddVBand="0" w:evenVBand="0" w:oddHBand="0"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3114" w:type="dxa"/>
            <w:vAlign w:val="center"/>
            <w:hideMark/>
          </w:tcPr>
          <w:p w14:paraId="63898EF3" w14:textId="77777777" w:rsidR="004D7B74" w:rsidRPr="004D7B74" w:rsidRDefault="004D7B74" w:rsidP="003E1DCD">
            <w:pPr>
              <w:pStyle w:val="Standardtext"/>
              <w:spacing w:before="0"/>
              <w:jc w:val="center"/>
              <w:rPr>
                <w:rFonts w:ascii="Museo Sans 500" w:hAnsi="Museo Sans 500" w:cs="Arial"/>
                <w:bCs w:val="0"/>
                <w:i/>
                <w:sz w:val="24"/>
                <w:szCs w:val="24"/>
                <w:lang w:val="es-ES_tradnl"/>
              </w:rPr>
            </w:pPr>
            <w:bookmarkStart w:id="105" w:name="_Hlk24017105"/>
            <w:r w:rsidRPr="004D7B74">
              <w:rPr>
                <w:rFonts w:ascii="Museo Sans 500" w:hAnsi="Museo Sans 500" w:cs="Arial"/>
                <w:bCs w:val="0"/>
                <w:i/>
                <w:sz w:val="24"/>
                <w:szCs w:val="24"/>
                <w:lang w:val="es-ES_tradnl"/>
              </w:rPr>
              <w:t>Etapas</w:t>
            </w:r>
          </w:p>
        </w:tc>
        <w:tc>
          <w:tcPr>
            <w:tcW w:w="1559" w:type="dxa"/>
            <w:vAlign w:val="center"/>
            <w:hideMark/>
          </w:tcPr>
          <w:p w14:paraId="2F3DE31C"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 xml:space="preserve">Ciclo </w:t>
            </w:r>
          </w:p>
          <w:p w14:paraId="743E730C"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1</w:t>
            </w:r>
          </w:p>
        </w:tc>
        <w:tc>
          <w:tcPr>
            <w:tcW w:w="1418" w:type="dxa"/>
            <w:vAlign w:val="center"/>
          </w:tcPr>
          <w:p w14:paraId="1AD09750"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 xml:space="preserve">Ciclo </w:t>
            </w:r>
          </w:p>
          <w:p w14:paraId="4F498698"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2</w:t>
            </w:r>
          </w:p>
        </w:tc>
        <w:tc>
          <w:tcPr>
            <w:tcW w:w="1417" w:type="dxa"/>
            <w:vAlign w:val="center"/>
          </w:tcPr>
          <w:p w14:paraId="52BD4757"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 xml:space="preserve">Ciclo </w:t>
            </w:r>
          </w:p>
          <w:p w14:paraId="4266B171"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3</w:t>
            </w:r>
          </w:p>
        </w:tc>
        <w:tc>
          <w:tcPr>
            <w:tcW w:w="1647" w:type="dxa"/>
            <w:vAlign w:val="center"/>
          </w:tcPr>
          <w:p w14:paraId="78B217E9"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 xml:space="preserve">Ciclo </w:t>
            </w:r>
          </w:p>
          <w:p w14:paraId="634C3A02" w14:textId="77777777" w:rsidR="004D7B74" w:rsidRPr="004D7B74" w:rsidRDefault="004D7B74" w:rsidP="003E1DCD">
            <w:pPr>
              <w:pStyle w:val="Standardtext"/>
              <w:spacing w:before="0"/>
              <w:jc w:val="center"/>
              <w:cnfStyle w:val="100000000000" w:firstRow="1" w:lastRow="0" w:firstColumn="0" w:lastColumn="0" w:oddVBand="0" w:evenVBand="0" w:oddHBand="0" w:evenHBand="0" w:firstRowFirstColumn="0" w:firstRowLastColumn="0" w:lastRowFirstColumn="0" w:lastRowLastColumn="0"/>
              <w:rPr>
                <w:rFonts w:ascii="Museo Sans 500" w:hAnsi="Museo Sans 500" w:cs="Arial"/>
                <w:bCs w:val="0"/>
                <w:sz w:val="24"/>
                <w:szCs w:val="24"/>
                <w:lang w:val="es-ES_tradnl"/>
              </w:rPr>
            </w:pPr>
            <w:r w:rsidRPr="004D7B74">
              <w:rPr>
                <w:rFonts w:ascii="Museo Sans 500" w:hAnsi="Museo Sans 500" w:cs="Arial"/>
                <w:bCs w:val="0"/>
                <w:sz w:val="24"/>
                <w:szCs w:val="24"/>
                <w:lang w:val="es-ES_tradnl"/>
              </w:rPr>
              <w:t>4</w:t>
            </w:r>
          </w:p>
        </w:tc>
      </w:tr>
      <w:tr w:rsidR="004D7B74" w:rsidRPr="004D7B74" w14:paraId="5FCFCCAE" w14:textId="77777777" w:rsidTr="00EB4078">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66BD1E66" w14:textId="7B2CFC9A" w:rsidR="004D7B74" w:rsidRPr="00EB4078" w:rsidRDefault="004D7B74" w:rsidP="00EB4078">
            <w:pPr>
              <w:pStyle w:val="Textoindependiente3"/>
              <w:tabs>
                <w:tab w:val="left" w:pos="-1843"/>
                <w:tab w:val="left" w:pos="-1701"/>
                <w:tab w:val="left" w:pos="-720"/>
                <w:tab w:val="left" w:pos="454"/>
              </w:tabs>
              <w:spacing w:after="0"/>
              <w:ind w:left="29"/>
              <w:rPr>
                <w:rFonts w:ascii="Museo Sans 300" w:hAnsi="Museo Sans 300" w:cs="Arial"/>
                <w:bCs w:val="0"/>
                <w:sz w:val="22"/>
                <w:szCs w:val="22"/>
                <w:lang w:val="es-MX"/>
              </w:rPr>
            </w:pPr>
            <w:r w:rsidRPr="00EB4078">
              <w:rPr>
                <w:rFonts w:ascii="Museo Sans 300" w:hAnsi="Museo Sans 300" w:cs="Arial"/>
                <w:bCs w:val="0"/>
                <w:sz w:val="22"/>
                <w:szCs w:val="22"/>
              </w:rPr>
              <w:t>Reserva de Fondo</w:t>
            </w:r>
            <w:r w:rsidR="00EB4078" w:rsidRPr="00EB4078">
              <w:rPr>
                <w:rFonts w:ascii="Museo Sans 300" w:hAnsi="Museo Sans 300" w:cs="Arial"/>
                <w:bCs w:val="0"/>
                <w:sz w:val="22"/>
                <w:szCs w:val="22"/>
              </w:rPr>
              <w:t>s</w:t>
            </w:r>
          </w:p>
        </w:tc>
        <w:tc>
          <w:tcPr>
            <w:tcW w:w="1559" w:type="dxa"/>
            <w:vAlign w:val="center"/>
          </w:tcPr>
          <w:p w14:paraId="00440AB2" w14:textId="77777777" w:rsidR="004D7B74" w:rsidRPr="004D7B74" w:rsidRDefault="004D7B74" w:rsidP="00EB407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Cs w:val="24"/>
              </w:rPr>
            </w:pPr>
            <w:r w:rsidRPr="004D7B74">
              <w:rPr>
                <w:rFonts w:ascii="Museo Sans 300" w:hAnsi="Museo Sans 300" w:cs="Arial"/>
                <w:szCs w:val="24"/>
              </w:rPr>
              <w:t>00:01 a.m.</w:t>
            </w:r>
          </w:p>
        </w:tc>
        <w:tc>
          <w:tcPr>
            <w:tcW w:w="1418" w:type="dxa"/>
            <w:vAlign w:val="center"/>
          </w:tcPr>
          <w:p w14:paraId="4D5B07C2" w14:textId="2017E7C5" w:rsidR="004D7B74" w:rsidRPr="004D7B74" w:rsidRDefault="001E2ABF" w:rsidP="00EB407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Cs w:val="24"/>
              </w:rPr>
            </w:pPr>
            <w:r>
              <w:rPr>
                <w:rFonts w:ascii="Museo Sans 300" w:hAnsi="Museo Sans 300" w:cs="Arial"/>
                <w:szCs w:val="24"/>
              </w:rPr>
              <w:t>09</w:t>
            </w:r>
            <w:r w:rsidR="004D7B74" w:rsidRPr="004D7B74">
              <w:rPr>
                <w:rFonts w:ascii="Museo Sans 300" w:hAnsi="Museo Sans 300" w:cs="Arial"/>
                <w:szCs w:val="24"/>
              </w:rPr>
              <w:t>:01 a.m.</w:t>
            </w:r>
          </w:p>
        </w:tc>
        <w:tc>
          <w:tcPr>
            <w:tcW w:w="1417" w:type="dxa"/>
            <w:vAlign w:val="center"/>
          </w:tcPr>
          <w:p w14:paraId="3845870E" w14:textId="344F28F1" w:rsidR="004D7B74" w:rsidRPr="004D7B74" w:rsidRDefault="004D7B74" w:rsidP="00EB407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Cs w:val="24"/>
                <w:lang w:val="en-US"/>
              </w:rPr>
            </w:pPr>
            <w:r w:rsidRPr="004D7B74">
              <w:rPr>
                <w:rFonts w:ascii="Museo Sans 300" w:hAnsi="Museo Sans 300" w:cs="Arial"/>
                <w:szCs w:val="24"/>
                <w:lang w:val="en-US"/>
              </w:rPr>
              <w:t>1</w:t>
            </w:r>
            <w:r w:rsidR="0036145C">
              <w:rPr>
                <w:rFonts w:ascii="Museo Sans 300" w:hAnsi="Museo Sans 300" w:cs="Arial"/>
                <w:szCs w:val="24"/>
                <w:lang w:val="en-US"/>
              </w:rPr>
              <w:t>3</w:t>
            </w:r>
            <w:r w:rsidRPr="004D7B74">
              <w:rPr>
                <w:rFonts w:ascii="Museo Sans 300" w:hAnsi="Museo Sans 300" w:cs="Arial"/>
                <w:szCs w:val="24"/>
                <w:lang w:val="en-US"/>
              </w:rPr>
              <w:t>:</w:t>
            </w:r>
            <w:r w:rsidR="0036145C">
              <w:rPr>
                <w:rFonts w:ascii="Museo Sans 300" w:hAnsi="Museo Sans 300" w:cs="Arial"/>
                <w:szCs w:val="24"/>
                <w:lang w:val="en-US"/>
              </w:rPr>
              <w:t>2</w:t>
            </w:r>
            <w:r w:rsidRPr="004D7B74">
              <w:rPr>
                <w:rFonts w:ascii="Museo Sans 300" w:hAnsi="Museo Sans 300" w:cs="Arial"/>
                <w:szCs w:val="24"/>
                <w:lang w:val="en-US"/>
              </w:rPr>
              <w:t>1 p.m.</w:t>
            </w:r>
          </w:p>
        </w:tc>
        <w:tc>
          <w:tcPr>
            <w:tcW w:w="1647" w:type="dxa"/>
            <w:vAlign w:val="center"/>
          </w:tcPr>
          <w:p w14:paraId="5E5AE353" w14:textId="1A357CE7" w:rsidR="004D7B74" w:rsidRPr="004D7B74" w:rsidRDefault="004D7B74" w:rsidP="00EB407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Cs w:val="24"/>
                <w:lang w:val="en-US"/>
              </w:rPr>
            </w:pPr>
            <w:r w:rsidRPr="004D7B74">
              <w:rPr>
                <w:rFonts w:ascii="Museo Sans 300" w:hAnsi="Museo Sans 300" w:cs="Arial"/>
                <w:szCs w:val="24"/>
                <w:lang w:val="en-US"/>
              </w:rPr>
              <w:t>17:</w:t>
            </w:r>
            <w:r w:rsidR="0036145C">
              <w:rPr>
                <w:rFonts w:ascii="Museo Sans 300" w:hAnsi="Museo Sans 300" w:cs="Arial"/>
                <w:szCs w:val="24"/>
                <w:lang w:val="en-US"/>
              </w:rPr>
              <w:t>4</w:t>
            </w:r>
            <w:r w:rsidRPr="004D7B74">
              <w:rPr>
                <w:rFonts w:ascii="Museo Sans 300" w:hAnsi="Museo Sans 300" w:cs="Arial"/>
                <w:szCs w:val="24"/>
                <w:lang w:val="en-US"/>
              </w:rPr>
              <w:t>1 p.m.</w:t>
            </w:r>
          </w:p>
        </w:tc>
      </w:tr>
      <w:tr w:rsidR="00EB4078" w:rsidRPr="004D7B74" w14:paraId="00893905" w14:textId="77777777" w:rsidTr="00EB4078">
        <w:trPr>
          <w:trHeight w:val="394"/>
          <w:jc w:val="center"/>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41EC0DC5" w14:textId="77777777" w:rsidR="004D7B74" w:rsidRPr="00EB4078" w:rsidRDefault="004D7B74" w:rsidP="00EB4078">
            <w:pPr>
              <w:pStyle w:val="Textoindependiente3"/>
              <w:tabs>
                <w:tab w:val="left" w:pos="-1843"/>
                <w:tab w:val="left" w:pos="-1701"/>
                <w:tab w:val="left" w:pos="-720"/>
                <w:tab w:val="left" w:pos="454"/>
              </w:tabs>
              <w:spacing w:after="0"/>
              <w:ind w:left="29"/>
              <w:rPr>
                <w:rFonts w:ascii="Museo Sans 300" w:hAnsi="Museo Sans 300" w:cs="Arial"/>
                <w:bCs w:val="0"/>
                <w:sz w:val="22"/>
                <w:szCs w:val="22"/>
              </w:rPr>
            </w:pPr>
            <w:r w:rsidRPr="00EB4078">
              <w:rPr>
                <w:rFonts w:ascii="Museo Sans 300" w:hAnsi="Museo Sans 300" w:cs="Arial"/>
                <w:bCs w:val="0"/>
                <w:sz w:val="22"/>
                <w:szCs w:val="22"/>
              </w:rPr>
              <w:t>Liquidación</w:t>
            </w:r>
          </w:p>
        </w:tc>
        <w:tc>
          <w:tcPr>
            <w:tcW w:w="1559" w:type="dxa"/>
            <w:vAlign w:val="center"/>
          </w:tcPr>
          <w:p w14:paraId="17D92140" w14:textId="7EA4738F" w:rsidR="004D7B74" w:rsidRPr="004D7B74" w:rsidRDefault="004D7B74" w:rsidP="00EB407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szCs w:val="24"/>
              </w:rPr>
            </w:pPr>
            <w:r w:rsidRPr="004D7B74">
              <w:rPr>
                <w:rFonts w:ascii="Museo Sans 300" w:hAnsi="Museo Sans 300" w:cs="Arial"/>
                <w:szCs w:val="24"/>
              </w:rPr>
              <w:t>0</w:t>
            </w:r>
            <w:r w:rsidR="001E2ABF">
              <w:rPr>
                <w:rFonts w:ascii="Museo Sans 300" w:hAnsi="Museo Sans 300" w:cs="Arial"/>
                <w:szCs w:val="24"/>
              </w:rPr>
              <w:t>9</w:t>
            </w:r>
            <w:r w:rsidRPr="004D7B74">
              <w:rPr>
                <w:rFonts w:ascii="Museo Sans 300" w:hAnsi="Museo Sans 300" w:cs="Arial"/>
                <w:szCs w:val="24"/>
              </w:rPr>
              <w:t>:00 a.m.</w:t>
            </w:r>
          </w:p>
        </w:tc>
        <w:tc>
          <w:tcPr>
            <w:tcW w:w="1418" w:type="dxa"/>
            <w:vAlign w:val="center"/>
          </w:tcPr>
          <w:p w14:paraId="7FDD5030" w14:textId="18A0F4C3" w:rsidR="004D7B74" w:rsidRPr="004D7B74" w:rsidRDefault="004D7B74" w:rsidP="00EB407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szCs w:val="24"/>
              </w:rPr>
            </w:pPr>
            <w:r w:rsidRPr="004D7B74">
              <w:rPr>
                <w:rFonts w:ascii="Museo Sans 300" w:hAnsi="Museo Sans 300" w:cs="Arial"/>
                <w:szCs w:val="24"/>
              </w:rPr>
              <w:t>1</w:t>
            </w:r>
            <w:r w:rsidR="0036145C">
              <w:rPr>
                <w:rFonts w:ascii="Museo Sans 300" w:hAnsi="Museo Sans 300" w:cs="Arial"/>
                <w:szCs w:val="24"/>
              </w:rPr>
              <w:t>3</w:t>
            </w:r>
            <w:r w:rsidRPr="004D7B74">
              <w:rPr>
                <w:rFonts w:ascii="Museo Sans 300" w:hAnsi="Museo Sans 300" w:cs="Arial"/>
                <w:szCs w:val="24"/>
              </w:rPr>
              <w:t>:</w:t>
            </w:r>
            <w:r w:rsidR="0036145C">
              <w:rPr>
                <w:rFonts w:ascii="Museo Sans 300" w:hAnsi="Museo Sans 300" w:cs="Arial"/>
                <w:szCs w:val="24"/>
              </w:rPr>
              <w:t>2</w:t>
            </w:r>
            <w:r w:rsidRPr="004D7B74">
              <w:rPr>
                <w:rFonts w:ascii="Museo Sans 300" w:hAnsi="Museo Sans 300" w:cs="Arial"/>
                <w:szCs w:val="24"/>
              </w:rPr>
              <w:t>0 p.m.</w:t>
            </w:r>
          </w:p>
        </w:tc>
        <w:tc>
          <w:tcPr>
            <w:tcW w:w="1417" w:type="dxa"/>
            <w:vAlign w:val="center"/>
          </w:tcPr>
          <w:p w14:paraId="685A4DA0" w14:textId="697A7E1D" w:rsidR="004D7B74" w:rsidRPr="004D7B74" w:rsidRDefault="004D7B74" w:rsidP="00EB407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szCs w:val="24"/>
              </w:rPr>
            </w:pPr>
            <w:r w:rsidRPr="004D7B74">
              <w:rPr>
                <w:rFonts w:ascii="Museo Sans 300" w:hAnsi="Museo Sans 300" w:cs="Arial"/>
                <w:szCs w:val="24"/>
              </w:rPr>
              <w:t>17:</w:t>
            </w:r>
            <w:r w:rsidR="0036145C">
              <w:rPr>
                <w:rFonts w:ascii="Museo Sans 300" w:hAnsi="Museo Sans 300" w:cs="Arial"/>
                <w:szCs w:val="24"/>
              </w:rPr>
              <w:t>4</w:t>
            </w:r>
            <w:r w:rsidRPr="004D7B74">
              <w:rPr>
                <w:rFonts w:ascii="Museo Sans 300" w:hAnsi="Museo Sans 300" w:cs="Arial"/>
                <w:szCs w:val="24"/>
              </w:rPr>
              <w:t>0 p.m.</w:t>
            </w:r>
          </w:p>
        </w:tc>
        <w:tc>
          <w:tcPr>
            <w:tcW w:w="1647" w:type="dxa"/>
            <w:vAlign w:val="center"/>
          </w:tcPr>
          <w:p w14:paraId="6B60EDA1" w14:textId="77777777" w:rsidR="004D7B74" w:rsidRPr="004D7B74" w:rsidRDefault="004D7B74" w:rsidP="00EB407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szCs w:val="24"/>
              </w:rPr>
            </w:pPr>
            <w:r w:rsidRPr="004D7B74">
              <w:rPr>
                <w:rFonts w:ascii="Museo Sans 300" w:hAnsi="Museo Sans 300" w:cs="Arial"/>
                <w:szCs w:val="24"/>
              </w:rPr>
              <w:t>22:00 p.m.</w:t>
            </w:r>
          </w:p>
        </w:tc>
      </w:tr>
      <w:tr w:rsidR="004D7B74" w:rsidRPr="004D7B74" w14:paraId="25AEB184" w14:textId="77777777" w:rsidTr="00EB4078">
        <w:trPr>
          <w:cnfStyle w:val="000000100000" w:firstRow="0" w:lastRow="0" w:firstColumn="0" w:lastColumn="0" w:oddVBand="0" w:evenVBand="0" w:oddHBand="1" w:evenHBand="0" w:firstRowFirstColumn="0" w:firstRowLastColumn="0" w:lastRowFirstColumn="0" w:lastRowLastColumn="0"/>
          <w:trHeight w:val="1845"/>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B5D2E4A" w14:textId="214E2AEF" w:rsidR="004D7B74" w:rsidRPr="00EB4078" w:rsidRDefault="004D7B74" w:rsidP="00EB4078">
            <w:pPr>
              <w:pStyle w:val="Standardtext"/>
              <w:spacing w:before="0"/>
              <w:ind w:left="29"/>
              <w:rPr>
                <w:rFonts w:ascii="Museo Sans 300" w:hAnsi="Museo Sans 300" w:cs="Arial"/>
                <w:bCs w:val="0"/>
                <w:lang w:val="es-MX"/>
              </w:rPr>
            </w:pPr>
            <w:r w:rsidRPr="00EB4078">
              <w:rPr>
                <w:rFonts w:ascii="Museo Sans 300" w:hAnsi="Museo Sans 300" w:cs="Arial"/>
                <w:bCs w:val="0"/>
                <w:lang w:val="es-MX"/>
              </w:rPr>
              <w:t xml:space="preserve">Envío de Archivos de Transferencias de Crédito, Devoluciones de Transferencias de Crédito y </w:t>
            </w:r>
            <w:r w:rsidRPr="00EB4078">
              <w:rPr>
                <w:rFonts w:ascii="Museo Sans 300" w:hAnsi="Museo Sans 300" w:cs="Arial"/>
                <w:bCs w:val="0"/>
                <w:lang w:val="es-ES_tradnl"/>
              </w:rPr>
              <w:t>Confirmaci</w:t>
            </w:r>
            <w:r w:rsidR="00EB4078">
              <w:rPr>
                <w:rFonts w:ascii="Museo Sans 300" w:hAnsi="Museo Sans 300" w:cs="Arial"/>
                <w:bCs w:val="0"/>
                <w:lang w:val="es-ES_tradnl"/>
              </w:rPr>
              <w:t>ones</w:t>
            </w:r>
            <w:r w:rsidRPr="00EB4078">
              <w:rPr>
                <w:rFonts w:ascii="Museo Sans 300" w:hAnsi="Museo Sans 300" w:cs="Arial"/>
                <w:bCs w:val="0"/>
                <w:lang w:val="es-ES_tradnl"/>
              </w:rPr>
              <w:t xml:space="preserve"> de Crédito</w:t>
            </w:r>
          </w:p>
        </w:tc>
        <w:tc>
          <w:tcPr>
            <w:tcW w:w="6041" w:type="dxa"/>
            <w:gridSpan w:val="4"/>
            <w:vAlign w:val="center"/>
          </w:tcPr>
          <w:p w14:paraId="30C58C93" w14:textId="77777777" w:rsidR="004D7B74" w:rsidRPr="004D7B74" w:rsidRDefault="004D7B74" w:rsidP="003E1DC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Cs w:val="24"/>
              </w:rPr>
            </w:pPr>
            <w:r w:rsidRPr="004D7B74">
              <w:rPr>
                <w:rFonts w:ascii="Museo Sans 300" w:hAnsi="Museo Sans 300" w:cs="Arial"/>
                <w:szCs w:val="24"/>
              </w:rPr>
              <w:t>00:01 a.m. hasta las 22:00 p.m.</w:t>
            </w:r>
          </w:p>
        </w:tc>
      </w:tr>
      <w:bookmarkEnd w:id="105"/>
    </w:tbl>
    <w:p w14:paraId="43CB0F4B" w14:textId="77777777" w:rsidR="004D7B74" w:rsidRPr="004D7B74" w:rsidRDefault="004D7B74" w:rsidP="004D7B74">
      <w:pPr>
        <w:spacing w:after="200" w:line="276" w:lineRule="auto"/>
        <w:rPr>
          <w:lang w:val="es-MX"/>
        </w:rPr>
      </w:pPr>
    </w:p>
    <w:sectPr w:rsidR="004D7B74" w:rsidRPr="004D7B74" w:rsidSect="007012AA">
      <w:footerReference w:type="default" r:id="rId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CC7C" w14:textId="77777777" w:rsidR="007B79DA" w:rsidRDefault="007B79DA" w:rsidP="00A15907">
      <w:r>
        <w:separator/>
      </w:r>
    </w:p>
  </w:endnote>
  <w:endnote w:type="continuationSeparator" w:id="0">
    <w:p w14:paraId="48F0715B" w14:textId="77777777" w:rsidR="007B79DA" w:rsidRDefault="007B79DA" w:rsidP="00A15907">
      <w:r>
        <w:continuationSeparator/>
      </w:r>
    </w:p>
  </w:endnote>
  <w:endnote w:type="continuationNotice" w:id="1">
    <w:p w14:paraId="790D327E" w14:textId="77777777" w:rsidR="007B79DA" w:rsidRDefault="007B7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1595" w14:textId="55F9CBA3" w:rsidR="003E1DCD" w:rsidRDefault="003E1DCD">
    <w:pPr>
      <w:pStyle w:val="Piedepgina"/>
    </w:pPr>
  </w:p>
  <w:p w14:paraId="0B448849" w14:textId="77777777" w:rsidR="003E1DCD" w:rsidRDefault="003E1DCD">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B1C4" w14:textId="77777777" w:rsidR="003E1DCD" w:rsidRDefault="003E1DCD">
    <w:pPr>
      <w:jc w:val="center"/>
    </w:pPr>
  </w:p>
  <w:p w14:paraId="304C4F32" w14:textId="77777777" w:rsidR="003E1DCD" w:rsidRDefault="003E1DCD">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29FF" w14:textId="4B15D25B" w:rsidR="003E1DCD" w:rsidRDefault="003E1DCD" w:rsidP="00CE663B">
    <w:pPr>
      <w:tabs>
        <w:tab w:val="left" w:pos="7830"/>
      </w:tabs>
      <w:jc w:val="right"/>
      <w:rPr>
        <w:rFonts w:eastAsia="Calibri" w:cs="Arial"/>
        <w:bCs/>
        <w:iCs/>
        <w:sz w:val="22"/>
        <w:szCs w:val="24"/>
      </w:rPr>
    </w:pPr>
    <w:r>
      <w:rPr>
        <w:rFonts w:eastAsia="Calibri" w:cs="Arial"/>
        <w:b/>
        <w:bCs/>
        <w:iCs/>
        <w:sz w:val="22"/>
        <w:szCs w:val="24"/>
      </w:rPr>
      <w:t xml:space="preserve">                                    </w:t>
    </w:r>
    <w:r w:rsidRPr="00D4514E">
      <w:rPr>
        <w:rFonts w:eastAsia="Calibri" w:cs="Arial"/>
        <w:b/>
        <w:bCs/>
        <w:iCs/>
        <w:sz w:val="22"/>
        <w:szCs w:val="24"/>
      </w:rPr>
      <w:t>Fecha de aprobación:</w:t>
    </w:r>
    <w:r>
      <w:rPr>
        <w:rFonts w:eastAsia="Calibri" w:cs="Arial"/>
        <w:b/>
        <w:bCs/>
        <w:iCs/>
        <w:sz w:val="22"/>
        <w:szCs w:val="24"/>
      </w:rPr>
      <w:t xml:space="preserve"> </w:t>
    </w:r>
    <w:r w:rsidRPr="00FF5E51">
      <w:rPr>
        <w:rFonts w:eastAsia="Calibri" w:cs="Arial"/>
        <w:iCs/>
        <w:sz w:val="22"/>
        <w:szCs w:val="24"/>
      </w:rPr>
      <w:t xml:space="preserve">Sesión </w:t>
    </w:r>
    <w:r w:rsidRPr="005623FD">
      <w:rPr>
        <w:rFonts w:eastAsia="Calibri" w:cs="Arial"/>
        <w:iCs/>
        <w:sz w:val="22"/>
        <w:szCs w:val="24"/>
      </w:rPr>
      <w:t>CD-</w:t>
    </w:r>
    <w:r w:rsidR="0015169A">
      <w:rPr>
        <w:rFonts w:eastAsia="Calibri" w:cs="Arial"/>
        <w:iCs/>
        <w:sz w:val="22"/>
        <w:szCs w:val="24"/>
      </w:rPr>
      <w:t>03</w:t>
    </w:r>
    <w:r w:rsidRPr="005623FD">
      <w:rPr>
        <w:rFonts w:eastAsia="Calibri" w:cs="Arial"/>
        <w:iCs/>
        <w:sz w:val="22"/>
        <w:szCs w:val="24"/>
      </w:rPr>
      <w:t xml:space="preserve">/2023 del </w:t>
    </w:r>
    <w:r w:rsidR="003F5C9F">
      <w:rPr>
        <w:rFonts w:eastAsia="Calibri" w:cs="Arial"/>
        <w:iCs/>
        <w:sz w:val="22"/>
        <w:szCs w:val="24"/>
      </w:rPr>
      <w:t>10</w:t>
    </w:r>
    <w:r w:rsidRPr="005623FD">
      <w:rPr>
        <w:rFonts w:eastAsia="Calibri" w:cs="Arial"/>
        <w:iCs/>
        <w:sz w:val="22"/>
        <w:szCs w:val="24"/>
      </w:rPr>
      <w:t xml:space="preserve"> de </w:t>
    </w:r>
    <w:r w:rsidR="0015169A">
      <w:rPr>
        <w:rFonts w:eastAsia="Calibri" w:cs="Arial"/>
        <w:iCs/>
        <w:sz w:val="22"/>
        <w:szCs w:val="24"/>
      </w:rPr>
      <w:t>febrero</w:t>
    </w:r>
    <w:r w:rsidRPr="005623FD">
      <w:rPr>
        <w:rFonts w:eastAsia="Calibri" w:cs="Arial"/>
        <w:iCs/>
        <w:sz w:val="22"/>
        <w:szCs w:val="24"/>
      </w:rPr>
      <w:t xml:space="preserve"> de 2023</w:t>
    </w:r>
  </w:p>
  <w:p w14:paraId="546A989E" w14:textId="62FDD87A" w:rsidR="003E1DCD" w:rsidRPr="009A6015" w:rsidRDefault="003E1DCD" w:rsidP="009A6015">
    <w:pPr>
      <w:tabs>
        <w:tab w:val="left" w:pos="7830"/>
      </w:tabs>
      <w:jc w:val="center"/>
    </w:pPr>
  </w:p>
  <w:p w14:paraId="481CF880" w14:textId="77777777" w:rsidR="003E1DCD" w:rsidRDefault="003E1DCD">
    <w:pPr>
      <w:pStyle w:val="Piedepgina"/>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5FCB" w14:textId="70FC4C96" w:rsidR="003E1DCD" w:rsidRDefault="003E1DCD">
    <w:pPr>
      <w:pStyle w:val="Piedepgina"/>
    </w:pPr>
  </w:p>
  <w:p w14:paraId="37EFB3F9" w14:textId="77777777" w:rsidR="003E1DCD" w:rsidRPr="0026354D" w:rsidRDefault="003E1DCD" w:rsidP="0026354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056"/>
      <w:gridCol w:w="4748"/>
    </w:tblGrid>
    <w:tr w:rsidR="003E1DCD" w14:paraId="6D61769D" w14:textId="77777777" w:rsidTr="003E1DCD">
      <w:trPr>
        <w:trHeight w:val="537"/>
      </w:trPr>
      <w:tc>
        <w:tcPr>
          <w:tcW w:w="1346" w:type="dxa"/>
          <w:tcBorders>
            <w:top w:val="double" w:sz="4" w:space="0" w:color="auto"/>
            <w:left w:val="double" w:sz="4" w:space="0" w:color="auto"/>
            <w:bottom w:val="double" w:sz="4" w:space="0" w:color="auto"/>
            <w:right w:val="double" w:sz="4" w:space="0" w:color="auto"/>
          </w:tcBorders>
          <w:shd w:val="clear" w:color="auto" w:fill="E6E6E6"/>
          <w:vAlign w:val="center"/>
        </w:tcPr>
        <w:p w14:paraId="0AACE3DE" w14:textId="77777777" w:rsidR="003E1DCD" w:rsidRDefault="003E1DCD" w:rsidP="00EB03E3">
          <w:pPr>
            <w:pStyle w:val="Encabezado"/>
            <w:tabs>
              <w:tab w:val="clear" w:pos="8838"/>
              <w:tab w:val="right" w:pos="9498"/>
            </w:tabs>
            <w:jc w:val="center"/>
            <w:rPr>
              <w:b/>
              <w:bCs/>
              <w:i/>
              <w:iCs/>
              <w:sz w:val="18"/>
            </w:rPr>
          </w:pPr>
          <w:r>
            <w:rPr>
              <w:b/>
              <w:bCs/>
              <w:i/>
              <w:iCs/>
              <w:sz w:val="18"/>
            </w:rPr>
            <w:t>PÁGINA</w:t>
          </w:r>
        </w:p>
        <w:p w14:paraId="25AE7B57" w14:textId="5A189695" w:rsidR="003E1DCD" w:rsidRDefault="003E1DCD" w:rsidP="00EB03E3">
          <w:pPr>
            <w:pStyle w:val="Encabezado"/>
            <w:tabs>
              <w:tab w:val="clear" w:pos="8838"/>
              <w:tab w:val="right" w:pos="9498"/>
            </w:tabs>
            <w:jc w:val="center"/>
            <w:rPr>
              <w:b/>
              <w:bCs/>
              <w:i/>
              <w:iCs/>
              <w:sz w:val="18"/>
            </w:rPr>
          </w:pPr>
          <w:r w:rsidRPr="00B87DA6">
            <w:rPr>
              <w:b/>
              <w:bCs/>
              <w:i/>
              <w:iCs/>
              <w:sz w:val="18"/>
            </w:rPr>
            <w:t xml:space="preserve">No. </w:t>
          </w:r>
          <w:r w:rsidRPr="00B87DA6">
            <w:rPr>
              <w:b/>
              <w:bCs/>
              <w:i/>
              <w:iCs/>
              <w:sz w:val="18"/>
            </w:rPr>
            <w:fldChar w:fldCharType="begin"/>
          </w:r>
          <w:r w:rsidRPr="00B87DA6">
            <w:rPr>
              <w:b/>
              <w:bCs/>
              <w:i/>
              <w:iCs/>
              <w:sz w:val="18"/>
            </w:rPr>
            <w:instrText>PAGE   \* MERGEFORMAT</w:instrText>
          </w:r>
          <w:r w:rsidRPr="00B87DA6">
            <w:rPr>
              <w:b/>
              <w:bCs/>
              <w:i/>
              <w:iCs/>
              <w:sz w:val="18"/>
            </w:rPr>
            <w:fldChar w:fldCharType="separate"/>
          </w:r>
          <w:r>
            <w:rPr>
              <w:b/>
              <w:bCs/>
              <w:i/>
              <w:iCs/>
              <w:sz w:val="18"/>
            </w:rPr>
            <w:t>19</w:t>
          </w:r>
          <w:r w:rsidRPr="00B87DA6">
            <w:rPr>
              <w:b/>
              <w:bCs/>
              <w:i/>
              <w:iCs/>
              <w:sz w:val="18"/>
            </w:rPr>
            <w:fldChar w:fldCharType="end"/>
          </w:r>
          <w:r w:rsidRPr="00B87DA6">
            <w:rPr>
              <w:b/>
              <w:bCs/>
              <w:i/>
              <w:iCs/>
              <w:sz w:val="18"/>
            </w:rPr>
            <w:t>/</w:t>
          </w:r>
          <w:r>
            <w:rPr>
              <w:b/>
              <w:bCs/>
              <w:i/>
              <w:iCs/>
              <w:sz w:val="18"/>
            </w:rPr>
            <w:t>33</w:t>
          </w:r>
        </w:p>
      </w:tc>
      <w:tc>
        <w:tcPr>
          <w:tcW w:w="1134" w:type="dxa"/>
          <w:tcBorders>
            <w:top w:val="double" w:sz="4" w:space="0" w:color="auto"/>
            <w:left w:val="double" w:sz="4" w:space="0" w:color="auto"/>
            <w:bottom w:val="double" w:sz="4" w:space="0" w:color="auto"/>
            <w:right w:val="double" w:sz="4" w:space="0" w:color="auto"/>
          </w:tcBorders>
          <w:shd w:val="clear" w:color="auto" w:fill="E6E6E6"/>
          <w:vAlign w:val="center"/>
        </w:tcPr>
        <w:p w14:paraId="31BE7B38" w14:textId="77777777" w:rsidR="003E1DCD" w:rsidRDefault="003E1DCD" w:rsidP="00EB03E3">
          <w:pPr>
            <w:pStyle w:val="Encabezado"/>
            <w:jc w:val="center"/>
            <w:rPr>
              <w:b/>
              <w:bCs/>
              <w:i/>
              <w:iCs/>
              <w:sz w:val="18"/>
            </w:rPr>
          </w:pPr>
          <w:r>
            <w:rPr>
              <w:b/>
              <w:bCs/>
              <w:i/>
              <w:iCs/>
              <w:sz w:val="18"/>
            </w:rPr>
            <w:t>CÓDIGO</w:t>
          </w:r>
        </w:p>
        <w:p w14:paraId="7389D92D" w14:textId="77777777" w:rsidR="003E1DCD" w:rsidRPr="00B87DA6" w:rsidRDefault="003E1DCD" w:rsidP="00EB03E3">
          <w:pPr>
            <w:pStyle w:val="Encabezado"/>
            <w:jc w:val="center"/>
            <w:rPr>
              <w:b/>
              <w:bCs/>
              <w:i/>
              <w:iCs/>
              <w:sz w:val="18"/>
            </w:rPr>
          </w:pPr>
          <w:r w:rsidRPr="00B87DA6">
            <w:rPr>
              <w:b/>
              <w:bCs/>
              <w:i/>
              <w:iCs/>
              <w:sz w:val="18"/>
            </w:rPr>
            <w:t>920</w:t>
          </w:r>
          <w:r>
            <w:rPr>
              <w:b/>
              <w:bCs/>
              <w:i/>
              <w:iCs/>
              <w:sz w:val="18"/>
            </w:rPr>
            <w:t>509</w:t>
          </w:r>
        </w:p>
      </w:tc>
      <w:tc>
        <w:tcPr>
          <w:tcW w:w="2056" w:type="dxa"/>
          <w:tcBorders>
            <w:top w:val="double" w:sz="4" w:space="0" w:color="auto"/>
            <w:left w:val="double" w:sz="4" w:space="0" w:color="auto"/>
            <w:bottom w:val="double" w:sz="4" w:space="0" w:color="auto"/>
            <w:right w:val="double" w:sz="4" w:space="0" w:color="auto"/>
          </w:tcBorders>
          <w:shd w:val="clear" w:color="auto" w:fill="E6E6E6"/>
        </w:tcPr>
        <w:p w14:paraId="0A5D7848" w14:textId="77777777" w:rsidR="003E1DCD" w:rsidRDefault="003E1DCD" w:rsidP="00EB03E3">
          <w:pPr>
            <w:pStyle w:val="Encabezado"/>
            <w:jc w:val="center"/>
            <w:rPr>
              <w:b/>
              <w:bCs/>
              <w:i/>
              <w:iCs/>
              <w:sz w:val="18"/>
            </w:rPr>
          </w:pPr>
          <w:r>
            <w:rPr>
              <w:b/>
              <w:bCs/>
              <w:i/>
              <w:iCs/>
              <w:sz w:val="18"/>
            </w:rPr>
            <w:t>REVISADO:</w:t>
          </w:r>
        </w:p>
        <w:p w14:paraId="3EDC090B" w14:textId="77777777" w:rsidR="003E1DCD" w:rsidRDefault="003E1DCD" w:rsidP="00EB03E3">
          <w:pPr>
            <w:pStyle w:val="Encabezado"/>
            <w:jc w:val="center"/>
            <w:rPr>
              <w:b/>
              <w:bCs/>
              <w:i/>
              <w:iCs/>
              <w:sz w:val="18"/>
            </w:rPr>
          </w:pPr>
          <w:r>
            <w:rPr>
              <w:b/>
              <w:bCs/>
              <w:i/>
              <w:iCs/>
              <w:sz w:val="18"/>
            </w:rPr>
            <w:t>Gerente de Operaciones Financieras</w:t>
          </w:r>
        </w:p>
      </w:tc>
      <w:tc>
        <w:tcPr>
          <w:tcW w:w="4748" w:type="dxa"/>
          <w:tcBorders>
            <w:top w:val="double" w:sz="4" w:space="0" w:color="auto"/>
            <w:left w:val="double" w:sz="4" w:space="0" w:color="auto"/>
            <w:bottom w:val="double" w:sz="4" w:space="0" w:color="auto"/>
            <w:right w:val="double" w:sz="4" w:space="0" w:color="auto"/>
          </w:tcBorders>
          <w:shd w:val="clear" w:color="auto" w:fill="E6E6E6"/>
          <w:vAlign w:val="bottom"/>
        </w:tcPr>
        <w:p w14:paraId="1A53CF41" w14:textId="77777777" w:rsidR="003E1DCD" w:rsidRDefault="003E1DCD" w:rsidP="00EB03E3">
          <w:pPr>
            <w:pStyle w:val="Encabezado"/>
            <w:jc w:val="center"/>
            <w:rPr>
              <w:b/>
              <w:bCs/>
              <w:i/>
              <w:iCs/>
              <w:sz w:val="18"/>
            </w:rPr>
          </w:pPr>
          <w:r w:rsidRPr="008F1FBB">
            <w:rPr>
              <w:b/>
              <w:bCs/>
              <w:i/>
              <w:iCs/>
              <w:sz w:val="18"/>
            </w:rPr>
            <w:t xml:space="preserve">AUTORIZADO POR: </w:t>
          </w:r>
        </w:p>
        <w:p w14:paraId="3603AD6C" w14:textId="755B997D" w:rsidR="003E1DCD" w:rsidRDefault="003E1DCD" w:rsidP="00CA4C90">
          <w:pPr>
            <w:pStyle w:val="Encabezado"/>
            <w:jc w:val="center"/>
            <w:rPr>
              <w:b/>
              <w:bCs/>
              <w:i/>
              <w:iCs/>
              <w:sz w:val="18"/>
            </w:rPr>
          </w:pPr>
          <w:r w:rsidRPr="008F1FBB">
            <w:rPr>
              <w:b/>
              <w:bCs/>
              <w:i/>
              <w:iCs/>
              <w:sz w:val="18"/>
            </w:rPr>
            <w:t>CD-</w:t>
          </w:r>
          <w:r w:rsidR="0015169A">
            <w:rPr>
              <w:b/>
              <w:bCs/>
              <w:i/>
              <w:iCs/>
              <w:sz w:val="18"/>
            </w:rPr>
            <w:t>03</w:t>
          </w:r>
          <w:r w:rsidRPr="008F1FBB">
            <w:rPr>
              <w:b/>
              <w:bCs/>
              <w:i/>
              <w:iCs/>
              <w:sz w:val="18"/>
            </w:rPr>
            <w:t>/202</w:t>
          </w:r>
          <w:r>
            <w:rPr>
              <w:b/>
              <w:bCs/>
              <w:i/>
              <w:iCs/>
              <w:sz w:val="18"/>
            </w:rPr>
            <w:t>3</w:t>
          </w:r>
          <w:r w:rsidRPr="008F1FBB">
            <w:rPr>
              <w:b/>
              <w:bCs/>
              <w:i/>
              <w:iCs/>
              <w:sz w:val="18"/>
            </w:rPr>
            <w:t xml:space="preserve"> del </w:t>
          </w:r>
          <w:r w:rsidR="003F5C9F">
            <w:rPr>
              <w:b/>
              <w:bCs/>
              <w:i/>
              <w:iCs/>
              <w:sz w:val="18"/>
            </w:rPr>
            <w:t>10</w:t>
          </w:r>
          <w:r w:rsidRPr="008F1FBB">
            <w:rPr>
              <w:b/>
              <w:bCs/>
              <w:i/>
              <w:iCs/>
              <w:sz w:val="18"/>
            </w:rPr>
            <w:t xml:space="preserve"> de </w:t>
          </w:r>
          <w:r w:rsidR="0015169A">
            <w:rPr>
              <w:b/>
              <w:bCs/>
              <w:i/>
              <w:iCs/>
              <w:sz w:val="18"/>
            </w:rPr>
            <w:t>febrero</w:t>
          </w:r>
          <w:r w:rsidRPr="008F1FBB">
            <w:rPr>
              <w:b/>
              <w:bCs/>
              <w:i/>
              <w:iCs/>
              <w:sz w:val="18"/>
            </w:rPr>
            <w:t xml:space="preserve"> de 202</w:t>
          </w:r>
          <w:r>
            <w:rPr>
              <w:b/>
              <w:bCs/>
              <w:i/>
              <w:iCs/>
              <w:sz w:val="18"/>
            </w:rPr>
            <w:t>3</w:t>
          </w:r>
        </w:p>
        <w:p w14:paraId="1C42A571" w14:textId="1B15FFD1" w:rsidR="003E1DCD" w:rsidRDefault="003E1DCD" w:rsidP="00EB03E3">
          <w:pPr>
            <w:pStyle w:val="Encabezado"/>
            <w:jc w:val="center"/>
            <w:rPr>
              <w:b/>
              <w:bCs/>
              <w:i/>
              <w:iCs/>
              <w:sz w:val="18"/>
            </w:rPr>
          </w:pPr>
        </w:p>
        <w:p w14:paraId="43D195B3" w14:textId="4B8A6818" w:rsidR="003E1DCD" w:rsidRDefault="003E1DCD" w:rsidP="00EB03E3">
          <w:pPr>
            <w:pStyle w:val="Encabezado"/>
            <w:jc w:val="center"/>
            <w:rPr>
              <w:b/>
              <w:bCs/>
              <w:i/>
              <w:iCs/>
              <w:sz w:val="18"/>
            </w:rPr>
          </w:pPr>
        </w:p>
        <w:p w14:paraId="17C83311" w14:textId="68E3C430" w:rsidR="003E1DCD" w:rsidRDefault="003E1DCD" w:rsidP="00EB03E3">
          <w:pPr>
            <w:pStyle w:val="Encabezado"/>
            <w:jc w:val="center"/>
            <w:rPr>
              <w:b/>
              <w:bCs/>
              <w:i/>
              <w:iCs/>
              <w:sz w:val="18"/>
            </w:rPr>
          </w:pPr>
        </w:p>
        <w:p w14:paraId="04EA656B" w14:textId="77777777" w:rsidR="003E1DCD" w:rsidRDefault="003E1DCD" w:rsidP="00EB03E3">
          <w:pPr>
            <w:pStyle w:val="Encabezado"/>
            <w:jc w:val="center"/>
            <w:rPr>
              <w:b/>
              <w:bCs/>
              <w:i/>
              <w:iCs/>
              <w:sz w:val="18"/>
            </w:rPr>
          </w:pPr>
        </w:p>
        <w:p w14:paraId="01FF0BB4" w14:textId="77777777" w:rsidR="003E1DCD" w:rsidRPr="008F1FBB" w:rsidRDefault="003E1DCD" w:rsidP="00AB2E82">
          <w:pPr>
            <w:pStyle w:val="Encabezado"/>
            <w:rPr>
              <w:b/>
              <w:bCs/>
              <w:i/>
              <w:iCs/>
              <w:sz w:val="18"/>
            </w:rPr>
          </w:pPr>
        </w:p>
        <w:p w14:paraId="3070AB1E" w14:textId="77777777" w:rsidR="003E1DCD" w:rsidRDefault="003E1DCD" w:rsidP="00EB03E3">
          <w:pPr>
            <w:pStyle w:val="Encabezado"/>
            <w:jc w:val="center"/>
            <w:rPr>
              <w:b/>
              <w:bCs/>
              <w:i/>
              <w:iCs/>
              <w:sz w:val="18"/>
            </w:rPr>
          </w:pPr>
        </w:p>
      </w:tc>
    </w:tr>
  </w:tbl>
  <w:p w14:paraId="4F105846" w14:textId="77777777" w:rsidR="003E1DCD" w:rsidRDefault="003E1DCD">
    <w:pPr>
      <w:pStyle w:val="Piedepgina"/>
    </w:pPr>
  </w:p>
  <w:p w14:paraId="41175D5B" w14:textId="77777777" w:rsidR="003E1DCD" w:rsidRDefault="003E1DC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346"/>
      <w:gridCol w:w="1134"/>
      <w:gridCol w:w="2198"/>
      <w:gridCol w:w="4606"/>
    </w:tblGrid>
    <w:tr w:rsidR="003E1DCD" w:rsidRPr="00F04426" w14:paraId="55051F16" w14:textId="77777777" w:rsidTr="00FD1088">
      <w:trPr>
        <w:trHeight w:val="537"/>
      </w:trPr>
      <w:tc>
        <w:tcPr>
          <w:tcW w:w="1346" w:type="dxa"/>
          <w:tcBorders>
            <w:top w:val="double" w:sz="4" w:space="0" w:color="auto"/>
            <w:left w:val="double" w:sz="4" w:space="0" w:color="auto"/>
            <w:bottom w:val="double" w:sz="4" w:space="0" w:color="auto"/>
            <w:right w:val="double" w:sz="4" w:space="0" w:color="auto"/>
          </w:tcBorders>
          <w:shd w:val="clear" w:color="auto" w:fill="E6E6E6"/>
          <w:vAlign w:val="center"/>
        </w:tcPr>
        <w:p w14:paraId="1198A7CA" w14:textId="77777777" w:rsidR="003E1DCD" w:rsidRDefault="003E1DCD" w:rsidP="00EE4769">
          <w:pPr>
            <w:pStyle w:val="Encabezado"/>
            <w:tabs>
              <w:tab w:val="clear" w:pos="8838"/>
              <w:tab w:val="right" w:pos="9498"/>
            </w:tabs>
            <w:jc w:val="center"/>
            <w:rPr>
              <w:b/>
              <w:bCs/>
              <w:i/>
              <w:iCs/>
              <w:sz w:val="18"/>
            </w:rPr>
          </w:pPr>
          <w:r>
            <w:rPr>
              <w:b/>
              <w:bCs/>
              <w:i/>
              <w:iCs/>
              <w:sz w:val="18"/>
            </w:rPr>
            <w:t>PÁGINA</w:t>
          </w:r>
        </w:p>
        <w:p w14:paraId="2869A7C2" w14:textId="6FE619C3" w:rsidR="003E1DCD" w:rsidRDefault="003E1DCD" w:rsidP="00EE4769">
          <w:pPr>
            <w:pStyle w:val="Encabezado"/>
            <w:tabs>
              <w:tab w:val="clear" w:pos="8838"/>
              <w:tab w:val="right" w:pos="9498"/>
            </w:tabs>
            <w:jc w:val="center"/>
            <w:rPr>
              <w:b/>
              <w:bCs/>
              <w:i/>
              <w:iCs/>
              <w:sz w:val="18"/>
            </w:rPr>
          </w:pPr>
          <w:r w:rsidRPr="00B87DA6">
            <w:rPr>
              <w:b/>
              <w:bCs/>
              <w:i/>
              <w:iCs/>
              <w:sz w:val="18"/>
            </w:rPr>
            <w:t xml:space="preserve">No. </w:t>
          </w:r>
          <w:r w:rsidRPr="00B87DA6">
            <w:rPr>
              <w:b/>
              <w:bCs/>
              <w:i/>
              <w:iCs/>
              <w:sz w:val="18"/>
            </w:rPr>
            <w:fldChar w:fldCharType="begin"/>
          </w:r>
          <w:r w:rsidRPr="00B87DA6">
            <w:rPr>
              <w:b/>
              <w:bCs/>
              <w:i/>
              <w:iCs/>
              <w:sz w:val="18"/>
            </w:rPr>
            <w:instrText>PAGE   \* MERGEFORMAT</w:instrText>
          </w:r>
          <w:r w:rsidRPr="00B87DA6">
            <w:rPr>
              <w:b/>
              <w:bCs/>
              <w:i/>
              <w:iCs/>
              <w:sz w:val="18"/>
            </w:rPr>
            <w:fldChar w:fldCharType="separate"/>
          </w:r>
          <w:r>
            <w:rPr>
              <w:b/>
              <w:bCs/>
              <w:i/>
              <w:iCs/>
              <w:sz w:val="18"/>
            </w:rPr>
            <w:t>19</w:t>
          </w:r>
          <w:r w:rsidRPr="00B87DA6">
            <w:rPr>
              <w:b/>
              <w:bCs/>
              <w:i/>
              <w:iCs/>
              <w:sz w:val="18"/>
            </w:rPr>
            <w:fldChar w:fldCharType="end"/>
          </w:r>
          <w:r w:rsidRPr="00B87DA6">
            <w:rPr>
              <w:b/>
              <w:bCs/>
              <w:i/>
              <w:iCs/>
              <w:sz w:val="18"/>
            </w:rPr>
            <w:t>/</w:t>
          </w:r>
          <w:r>
            <w:rPr>
              <w:b/>
              <w:bCs/>
              <w:i/>
              <w:iCs/>
              <w:sz w:val="18"/>
            </w:rPr>
            <w:t>33</w:t>
          </w:r>
        </w:p>
      </w:tc>
      <w:tc>
        <w:tcPr>
          <w:tcW w:w="1134" w:type="dxa"/>
          <w:tcBorders>
            <w:top w:val="double" w:sz="4" w:space="0" w:color="auto"/>
            <w:left w:val="double" w:sz="4" w:space="0" w:color="auto"/>
            <w:bottom w:val="double" w:sz="4" w:space="0" w:color="auto"/>
            <w:right w:val="double" w:sz="4" w:space="0" w:color="auto"/>
          </w:tcBorders>
          <w:shd w:val="clear" w:color="auto" w:fill="E6E6E6"/>
          <w:vAlign w:val="center"/>
        </w:tcPr>
        <w:p w14:paraId="785579DE" w14:textId="77777777" w:rsidR="003E1DCD" w:rsidRDefault="003E1DCD" w:rsidP="00EE4769">
          <w:pPr>
            <w:pStyle w:val="Encabezado"/>
            <w:jc w:val="center"/>
            <w:rPr>
              <w:b/>
              <w:bCs/>
              <w:i/>
              <w:iCs/>
              <w:sz w:val="18"/>
            </w:rPr>
          </w:pPr>
          <w:r>
            <w:rPr>
              <w:b/>
              <w:bCs/>
              <w:i/>
              <w:iCs/>
              <w:sz w:val="18"/>
            </w:rPr>
            <w:t>CÓDIGO</w:t>
          </w:r>
        </w:p>
        <w:p w14:paraId="023122ED" w14:textId="77777777" w:rsidR="003E1DCD" w:rsidRPr="00B87DA6" w:rsidRDefault="003E1DCD" w:rsidP="00EE4769">
          <w:pPr>
            <w:pStyle w:val="Encabezado"/>
            <w:jc w:val="center"/>
            <w:rPr>
              <w:b/>
              <w:bCs/>
              <w:i/>
              <w:iCs/>
              <w:sz w:val="18"/>
            </w:rPr>
          </w:pPr>
          <w:r w:rsidRPr="00B87DA6">
            <w:rPr>
              <w:b/>
              <w:bCs/>
              <w:i/>
              <w:iCs/>
              <w:sz w:val="18"/>
            </w:rPr>
            <w:t>920</w:t>
          </w:r>
          <w:r>
            <w:rPr>
              <w:b/>
              <w:bCs/>
              <w:i/>
              <w:iCs/>
              <w:sz w:val="18"/>
            </w:rPr>
            <w:t>509</w:t>
          </w:r>
        </w:p>
      </w:tc>
      <w:tc>
        <w:tcPr>
          <w:tcW w:w="2198" w:type="dxa"/>
          <w:tcBorders>
            <w:top w:val="double" w:sz="4" w:space="0" w:color="auto"/>
            <w:left w:val="double" w:sz="4" w:space="0" w:color="auto"/>
            <w:bottom w:val="double" w:sz="4" w:space="0" w:color="auto"/>
            <w:right w:val="double" w:sz="4" w:space="0" w:color="auto"/>
          </w:tcBorders>
          <w:shd w:val="clear" w:color="auto" w:fill="E6E6E6"/>
        </w:tcPr>
        <w:p w14:paraId="32159984" w14:textId="77777777" w:rsidR="003E1DCD" w:rsidRDefault="003E1DCD" w:rsidP="00EE4769">
          <w:pPr>
            <w:pStyle w:val="Encabezado"/>
            <w:jc w:val="center"/>
            <w:rPr>
              <w:b/>
              <w:bCs/>
              <w:i/>
              <w:iCs/>
              <w:sz w:val="18"/>
            </w:rPr>
          </w:pPr>
        </w:p>
        <w:p w14:paraId="01AF385F" w14:textId="77777777" w:rsidR="003E1DCD" w:rsidRDefault="003E1DCD" w:rsidP="00EE4769">
          <w:pPr>
            <w:pStyle w:val="Encabezado"/>
            <w:jc w:val="center"/>
            <w:rPr>
              <w:b/>
              <w:bCs/>
              <w:i/>
              <w:iCs/>
              <w:sz w:val="18"/>
            </w:rPr>
          </w:pPr>
          <w:r>
            <w:rPr>
              <w:b/>
              <w:bCs/>
              <w:i/>
              <w:iCs/>
              <w:sz w:val="18"/>
            </w:rPr>
            <w:t>REVISADO:</w:t>
          </w:r>
        </w:p>
        <w:p w14:paraId="3A124FB5" w14:textId="77777777" w:rsidR="003E1DCD" w:rsidRDefault="003E1DCD" w:rsidP="00EE4769">
          <w:pPr>
            <w:pStyle w:val="Encabezado"/>
            <w:jc w:val="center"/>
            <w:rPr>
              <w:b/>
              <w:bCs/>
              <w:i/>
              <w:iCs/>
              <w:sz w:val="18"/>
            </w:rPr>
          </w:pPr>
          <w:r>
            <w:rPr>
              <w:b/>
              <w:bCs/>
              <w:i/>
              <w:iCs/>
              <w:sz w:val="18"/>
            </w:rPr>
            <w:t>Gerente de Operaciones Financieras</w:t>
          </w:r>
        </w:p>
      </w:tc>
      <w:tc>
        <w:tcPr>
          <w:tcW w:w="4606" w:type="dxa"/>
          <w:tcBorders>
            <w:top w:val="double" w:sz="4" w:space="0" w:color="auto"/>
            <w:left w:val="double" w:sz="4" w:space="0" w:color="auto"/>
            <w:bottom w:val="double" w:sz="4" w:space="0" w:color="auto"/>
            <w:right w:val="double" w:sz="4" w:space="0" w:color="auto"/>
          </w:tcBorders>
          <w:shd w:val="clear" w:color="auto" w:fill="E6E6E6"/>
          <w:vAlign w:val="bottom"/>
        </w:tcPr>
        <w:p w14:paraId="6FF7E301" w14:textId="77777777" w:rsidR="003E1DCD" w:rsidRDefault="003E1DCD" w:rsidP="00FD1088">
          <w:pPr>
            <w:pStyle w:val="Encabezado"/>
            <w:jc w:val="center"/>
            <w:rPr>
              <w:b/>
              <w:bCs/>
              <w:i/>
              <w:iCs/>
              <w:sz w:val="18"/>
            </w:rPr>
          </w:pPr>
          <w:r w:rsidRPr="008F1FBB">
            <w:rPr>
              <w:b/>
              <w:bCs/>
              <w:i/>
              <w:iCs/>
              <w:sz w:val="18"/>
            </w:rPr>
            <w:t xml:space="preserve">AUTORIZADO POR: </w:t>
          </w:r>
        </w:p>
        <w:p w14:paraId="66BC83B0" w14:textId="2F558CDC" w:rsidR="003E1DCD" w:rsidRDefault="003E1DCD" w:rsidP="00231D50">
          <w:pPr>
            <w:pStyle w:val="Encabezado"/>
            <w:jc w:val="center"/>
            <w:rPr>
              <w:b/>
              <w:bCs/>
              <w:i/>
              <w:iCs/>
              <w:sz w:val="18"/>
            </w:rPr>
          </w:pPr>
          <w:r>
            <w:rPr>
              <w:b/>
              <w:bCs/>
              <w:i/>
              <w:iCs/>
              <w:sz w:val="18"/>
            </w:rPr>
            <w:t>CD-</w:t>
          </w:r>
          <w:r w:rsidR="006D2874">
            <w:rPr>
              <w:b/>
              <w:bCs/>
              <w:i/>
              <w:iCs/>
              <w:sz w:val="18"/>
            </w:rPr>
            <w:t>03</w:t>
          </w:r>
          <w:r w:rsidRPr="00B87DA6">
            <w:rPr>
              <w:b/>
              <w:bCs/>
              <w:i/>
              <w:iCs/>
              <w:sz w:val="18"/>
            </w:rPr>
            <w:t>/20</w:t>
          </w:r>
          <w:r>
            <w:rPr>
              <w:b/>
              <w:bCs/>
              <w:i/>
              <w:iCs/>
              <w:sz w:val="18"/>
            </w:rPr>
            <w:t>23</w:t>
          </w:r>
          <w:r w:rsidRPr="00B87DA6">
            <w:rPr>
              <w:b/>
              <w:bCs/>
              <w:i/>
              <w:iCs/>
              <w:sz w:val="18"/>
            </w:rPr>
            <w:t xml:space="preserve"> de</w:t>
          </w:r>
          <w:r>
            <w:rPr>
              <w:b/>
              <w:bCs/>
              <w:i/>
              <w:iCs/>
              <w:sz w:val="18"/>
            </w:rPr>
            <w:t xml:space="preserve">l </w:t>
          </w:r>
          <w:r w:rsidR="003F5C9F">
            <w:rPr>
              <w:b/>
              <w:bCs/>
              <w:i/>
              <w:iCs/>
              <w:sz w:val="18"/>
            </w:rPr>
            <w:t>10</w:t>
          </w:r>
          <w:r>
            <w:rPr>
              <w:b/>
              <w:bCs/>
              <w:i/>
              <w:iCs/>
              <w:sz w:val="18"/>
            </w:rPr>
            <w:t xml:space="preserve"> de </w:t>
          </w:r>
          <w:r w:rsidR="0015169A">
            <w:rPr>
              <w:b/>
              <w:bCs/>
              <w:i/>
              <w:iCs/>
              <w:sz w:val="18"/>
            </w:rPr>
            <w:t>febrero</w:t>
          </w:r>
          <w:r w:rsidRPr="00B87DA6">
            <w:rPr>
              <w:b/>
              <w:bCs/>
              <w:i/>
              <w:iCs/>
              <w:sz w:val="18"/>
            </w:rPr>
            <w:t xml:space="preserve"> de 20</w:t>
          </w:r>
          <w:r>
            <w:rPr>
              <w:b/>
              <w:bCs/>
              <w:i/>
              <w:iCs/>
              <w:sz w:val="18"/>
            </w:rPr>
            <w:t>23</w:t>
          </w:r>
        </w:p>
        <w:p w14:paraId="726C8D42" w14:textId="0A2C7621" w:rsidR="003E1DCD" w:rsidRPr="008F1FBB" w:rsidRDefault="003E1DCD" w:rsidP="00FD1088">
          <w:pPr>
            <w:pStyle w:val="Encabezado"/>
            <w:jc w:val="center"/>
            <w:rPr>
              <w:b/>
              <w:bCs/>
              <w:i/>
              <w:iCs/>
              <w:sz w:val="18"/>
            </w:rPr>
          </w:pPr>
        </w:p>
        <w:p w14:paraId="497408CC" w14:textId="77777777" w:rsidR="003E1DCD" w:rsidRDefault="003E1DCD" w:rsidP="00887A53">
          <w:pPr>
            <w:pStyle w:val="Encabezado"/>
            <w:jc w:val="center"/>
            <w:rPr>
              <w:b/>
              <w:bCs/>
              <w:i/>
              <w:iCs/>
              <w:sz w:val="18"/>
            </w:rPr>
          </w:pPr>
        </w:p>
        <w:p w14:paraId="038262A3" w14:textId="77777777" w:rsidR="003E1DCD" w:rsidRDefault="003E1DCD" w:rsidP="00887A53">
          <w:pPr>
            <w:pStyle w:val="Encabezado"/>
            <w:jc w:val="center"/>
            <w:rPr>
              <w:b/>
              <w:bCs/>
              <w:i/>
              <w:iCs/>
              <w:sz w:val="18"/>
            </w:rPr>
          </w:pPr>
        </w:p>
        <w:p w14:paraId="3C0EC99A" w14:textId="3A2ABC17" w:rsidR="003E1DCD" w:rsidRDefault="003E1DCD" w:rsidP="00887A53">
          <w:pPr>
            <w:pStyle w:val="Encabezado"/>
            <w:jc w:val="center"/>
            <w:rPr>
              <w:b/>
              <w:bCs/>
              <w:i/>
              <w:iCs/>
              <w:sz w:val="18"/>
            </w:rPr>
          </w:pPr>
        </w:p>
        <w:p w14:paraId="147E8949" w14:textId="77777777" w:rsidR="003E1DCD" w:rsidRDefault="003E1DCD" w:rsidP="00887A53">
          <w:pPr>
            <w:pStyle w:val="Encabezado"/>
            <w:jc w:val="center"/>
            <w:rPr>
              <w:b/>
              <w:bCs/>
              <w:i/>
              <w:iCs/>
              <w:sz w:val="18"/>
            </w:rPr>
          </w:pPr>
        </w:p>
        <w:p w14:paraId="1E58F03D" w14:textId="77777777" w:rsidR="003E1DCD" w:rsidRPr="00B87DA6" w:rsidRDefault="003E1DCD" w:rsidP="00887A53">
          <w:pPr>
            <w:pStyle w:val="Encabezado"/>
            <w:jc w:val="center"/>
            <w:rPr>
              <w:b/>
              <w:bCs/>
              <w:i/>
              <w:iCs/>
              <w:sz w:val="18"/>
            </w:rPr>
          </w:pPr>
        </w:p>
      </w:tc>
    </w:tr>
  </w:tbl>
  <w:p w14:paraId="40868168" w14:textId="77777777" w:rsidR="003E1DCD" w:rsidRDefault="003E1DCD">
    <w:pPr>
      <w:pStyle w:val="Piedepgina"/>
    </w:pPr>
  </w:p>
  <w:p w14:paraId="031F5AA3" w14:textId="77777777" w:rsidR="003E1DCD" w:rsidRPr="0026354D" w:rsidRDefault="003E1DCD" w:rsidP="0026354D">
    <w:pPr>
      <w:pStyle w:val="Piedepgin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D58E" w14:textId="32D7AAED" w:rsidR="003E1DCD" w:rsidRDefault="003E1DCD" w:rsidP="00FB34C4">
    <w:pPr>
      <w:tabs>
        <w:tab w:val="left" w:pos="7830"/>
      </w:tabs>
      <w:jc w:val="right"/>
      <w:rPr>
        <w:rFonts w:eastAsia="Calibri" w:cs="Arial"/>
        <w:bCs/>
        <w:iCs/>
        <w:sz w:val="22"/>
        <w:szCs w:val="24"/>
      </w:rPr>
    </w:pPr>
    <w:r w:rsidRPr="00D4514E">
      <w:rPr>
        <w:rFonts w:eastAsia="Calibri" w:cs="Arial"/>
        <w:b/>
        <w:bCs/>
        <w:iCs/>
        <w:sz w:val="22"/>
        <w:szCs w:val="24"/>
      </w:rPr>
      <w:t>Fecha de aprobación:</w:t>
    </w:r>
    <w:r>
      <w:rPr>
        <w:rFonts w:eastAsia="Calibri" w:cs="Arial"/>
        <w:b/>
        <w:bCs/>
        <w:iCs/>
        <w:sz w:val="22"/>
        <w:szCs w:val="24"/>
      </w:rPr>
      <w:t xml:space="preserve"> </w:t>
    </w:r>
    <w:r w:rsidRPr="00FF5E51">
      <w:rPr>
        <w:rFonts w:eastAsia="Calibri" w:cs="Arial"/>
        <w:iCs/>
        <w:sz w:val="22"/>
        <w:szCs w:val="24"/>
      </w:rPr>
      <w:t xml:space="preserve">Sesión </w:t>
    </w:r>
    <w:r>
      <w:rPr>
        <w:rFonts w:eastAsia="Calibri" w:cs="Arial"/>
        <w:bCs/>
        <w:iCs/>
        <w:sz w:val="22"/>
        <w:szCs w:val="24"/>
      </w:rPr>
      <w:t>No. CD-</w:t>
    </w:r>
    <w:r w:rsidR="0015169A">
      <w:rPr>
        <w:rFonts w:eastAsia="Calibri" w:cs="Arial"/>
        <w:bCs/>
        <w:iCs/>
        <w:sz w:val="22"/>
        <w:szCs w:val="24"/>
      </w:rPr>
      <w:t>03</w:t>
    </w:r>
    <w:r>
      <w:rPr>
        <w:rFonts w:eastAsia="Calibri" w:cs="Arial"/>
        <w:bCs/>
        <w:iCs/>
        <w:sz w:val="22"/>
        <w:szCs w:val="24"/>
      </w:rPr>
      <w:t xml:space="preserve">/2023 </w:t>
    </w:r>
    <w:r w:rsidRPr="00D4514E">
      <w:rPr>
        <w:rFonts w:eastAsia="Calibri" w:cs="Arial"/>
        <w:bCs/>
        <w:iCs/>
        <w:sz w:val="22"/>
        <w:szCs w:val="24"/>
      </w:rPr>
      <w:t>de</w:t>
    </w:r>
    <w:r>
      <w:rPr>
        <w:rFonts w:eastAsia="Calibri" w:cs="Arial"/>
        <w:bCs/>
        <w:iCs/>
        <w:sz w:val="22"/>
        <w:szCs w:val="24"/>
      </w:rPr>
      <w:t>l</w:t>
    </w:r>
    <w:r w:rsidRPr="00D4514E">
      <w:rPr>
        <w:rFonts w:eastAsia="Calibri" w:cs="Arial"/>
        <w:bCs/>
        <w:iCs/>
        <w:sz w:val="22"/>
        <w:szCs w:val="24"/>
      </w:rPr>
      <w:t xml:space="preserve"> </w:t>
    </w:r>
    <w:r w:rsidR="003F5C9F">
      <w:rPr>
        <w:rFonts w:eastAsia="Calibri" w:cs="Arial"/>
        <w:bCs/>
        <w:iCs/>
        <w:sz w:val="22"/>
        <w:szCs w:val="24"/>
      </w:rPr>
      <w:t>10</w:t>
    </w:r>
    <w:r>
      <w:rPr>
        <w:rFonts w:eastAsia="Calibri" w:cs="Arial"/>
        <w:bCs/>
        <w:iCs/>
        <w:sz w:val="22"/>
        <w:szCs w:val="24"/>
      </w:rPr>
      <w:t xml:space="preserve"> de </w:t>
    </w:r>
    <w:r w:rsidR="0015169A">
      <w:rPr>
        <w:rFonts w:eastAsia="Calibri" w:cs="Arial"/>
        <w:bCs/>
        <w:iCs/>
        <w:sz w:val="22"/>
        <w:szCs w:val="24"/>
      </w:rPr>
      <w:t>febrero</w:t>
    </w:r>
    <w:r w:rsidRPr="00D4514E">
      <w:rPr>
        <w:rFonts w:eastAsia="Calibri" w:cs="Arial"/>
        <w:bCs/>
        <w:iCs/>
        <w:sz w:val="22"/>
        <w:szCs w:val="24"/>
      </w:rPr>
      <w:t xml:space="preserve"> de 20</w:t>
    </w:r>
    <w:r>
      <w:rPr>
        <w:rFonts w:eastAsia="Calibri" w:cs="Arial"/>
        <w:bCs/>
        <w:iCs/>
        <w:sz w:val="22"/>
        <w:szCs w:val="24"/>
      </w:rPr>
      <w:t>23.</w:t>
    </w:r>
  </w:p>
  <w:p w14:paraId="444E24C3" w14:textId="77777777" w:rsidR="003E1DCD" w:rsidRDefault="003E1DCD">
    <w:pPr>
      <w:pStyle w:val="Piedepgina"/>
    </w:pPr>
  </w:p>
  <w:p w14:paraId="04E526C2" w14:textId="77777777" w:rsidR="003E1DCD" w:rsidRDefault="003E1DCD">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3F35" w14:textId="3F5F3599" w:rsidR="003E1DCD" w:rsidRDefault="003E1DCD" w:rsidP="00CE1129">
    <w:pPr>
      <w:tabs>
        <w:tab w:val="left" w:pos="7830"/>
      </w:tabs>
      <w:jc w:val="right"/>
      <w:rPr>
        <w:rFonts w:eastAsia="Calibri" w:cs="Arial"/>
        <w:bCs/>
        <w:iCs/>
        <w:sz w:val="22"/>
        <w:szCs w:val="24"/>
      </w:rPr>
    </w:pPr>
    <w:r w:rsidRPr="00D4514E">
      <w:rPr>
        <w:rFonts w:eastAsia="Calibri" w:cs="Arial"/>
        <w:b/>
        <w:bCs/>
        <w:iCs/>
        <w:sz w:val="22"/>
        <w:szCs w:val="24"/>
      </w:rPr>
      <w:t>Fecha de aprobación:</w:t>
    </w:r>
    <w:r>
      <w:rPr>
        <w:rFonts w:eastAsia="Calibri" w:cs="Arial"/>
        <w:b/>
        <w:bCs/>
        <w:iCs/>
        <w:sz w:val="22"/>
        <w:szCs w:val="24"/>
      </w:rPr>
      <w:t xml:space="preserve"> </w:t>
    </w:r>
    <w:r w:rsidRPr="00FF5E51">
      <w:rPr>
        <w:rFonts w:eastAsia="Calibri" w:cs="Arial"/>
        <w:iCs/>
        <w:sz w:val="22"/>
        <w:szCs w:val="24"/>
      </w:rPr>
      <w:t xml:space="preserve">Sesión </w:t>
    </w:r>
    <w:r>
      <w:rPr>
        <w:rFonts w:eastAsia="Calibri" w:cs="Arial"/>
        <w:bCs/>
        <w:iCs/>
        <w:sz w:val="22"/>
        <w:szCs w:val="24"/>
      </w:rPr>
      <w:t>No. CD-</w:t>
    </w:r>
    <w:r w:rsidR="003F5C9F">
      <w:rPr>
        <w:rFonts w:eastAsia="Calibri" w:cs="Arial"/>
        <w:bCs/>
        <w:iCs/>
        <w:sz w:val="22"/>
        <w:szCs w:val="24"/>
      </w:rPr>
      <w:t>03</w:t>
    </w:r>
    <w:r>
      <w:rPr>
        <w:rFonts w:eastAsia="Calibri" w:cs="Arial"/>
        <w:bCs/>
        <w:iCs/>
        <w:sz w:val="22"/>
        <w:szCs w:val="24"/>
      </w:rPr>
      <w:t xml:space="preserve">/2023 </w:t>
    </w:r>
    <w:r w:rsidRPr="00D4514E">
      <w:rPr>
        <w:rFonts w:eastAsia="Calibri" w:cs="Arial"/>
        <w:bCs/>
        <w:iCs/>
        <w:sz w:val="22"/>
        <w:szCs w:val="24"/>
      </w:rPr>
      <w:t>de</w:t>
    </w:r>
    <w:r>
      <w:rPr>
        <w:rFonts w:eastAsia="Calibri" w:cs="Arial"/>
        <w:bCs/>
        <w:iCs/>
        <w:sz w:val="22"/>
        <w:szCs w:val="24"/>
      </w:rPr>
      <w:t>l</w:t>
    </w:r>
    <w:r w:rsidRPr="00D4514E">
      <w:rPr>
        <w:rFonts w:eastAsia="Calibri" w:cs="Arial"/>
        <w:bCs/>
        <w:iCs/>
        <w:sz w:val="22"/>
        <w:szCs w:val="24"/>
      </w:rPr>
      <w:t xml:space="preserve"> </w:t>
    </w:r>
    <w:r w:rsidR="003F5C9F">
      <w:rPr>
        <w:rFonts w:eastAsia="Calibri" w:cs="Arial"/>
        <w:bCs/>
        <w:iCs/>
        <w:sz w:val="22"/>
        <w:szCs w:val="24"/>
      </w:rPr>
      <w:t>10</w:t>
    </w:r>
    <w:r>
      <w:rPr>
        <w:rFonts w:eastAsia="Calibri" w:cs="Arial"/>
        <w:bCs/>
        <w:iCs/>
        <w:sz w:val="22"/>
        <w:szCs w:val="24"/>
      </w:rPr>
      <w:t xml:space="preserve"> de </w:t>
    </w:r>
    <w:r w:rsidR="0015169A">
      <w:rPr>
        <w:rFonts w:eastAsia="Calibri" w:cs="Arial"/>
        <w:bCs/>
        <w:iCs/>
        <w:sz w:val="22"/>
        <w:szCs w:val="24"/>
      </w:rPr>
      <w:t>febrero</w:t>
    </w:r>
    <w:r w:rsidRPr="00D4514E">
      <w:rPr>
        <w:rFonts w:eastAsia="Calibri" w:cs="Arial"/>
        <w:bCs/>
        <w:iCs/>
        <w:sz w:val="22"/>
        <w:szCs w:val="24"/>
      </w:rPr>
      <w:t xml:space="preserve"> de 20</w:t>
    </w:r>
    <w:r>
      <w:rPr>
        <w:rFonts w:eastAsia="Calibri" w:cs="Arial"/>
        <w:bCs/>
        <w:iCs/>
        <w:sz w:val="22"/>
        <w:szCs w:val="24"/>
      </w:rPr>
      <w:t>23.</w:t>
    </w:r>
  </w:p>
  <w:p w14:paraId="70E04637" w14:textId="77777777" w:rsidR="003E1DCD" w:rsidRDefault="003E1DCD">
    <w:pPr>
      <w:pStyle w:val="Piedepgina"/>
    </w:pPr>
  </w:p>
  <w:p w14:paraId="66F292B5" w14:textId="77777777" w:rsidR="003E1DCD" w:rsidRPr="0026354D" w:rsidRDefault="003E1DCD" w:rsidP="0026354D">
    <w:pPr>
      <w:pStyle w:val="Piedepgina"/>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79D7" w14:textId="77777777" w:rsidR="003E1DCD" w:rsidRDefault="003E1DCD">
    <w:pPr>
      <w:jc w:val="center"/>
    </w:pPr>
  </w:p>
  <w:p w14:paraId="0742FACF" w14:textId="77777777" w:rsidR="003E1DCD" w:rsidRDefault="003E1DCD">
    <w:pPr>
      <w:pStyle w:val="Piedepgina"/>
      <w:rPr>
        <w:sz w:val="10"/>
      </w:rPr>
    </w:pPr>
  </w:p>
  <w:p w14:paraId="2F9C988A" w14:textId="77777777" w:rsidR="003E1DCD" w:rsidRDefault="003E1DCD">
    <w:pPr>
      <w:jc w:val="center"/>
    </w:pPr>
  </w:p>
  <w:p w14:paraId="2594A899" w14:textId="77777777" w:rsidR="003E1DCD" w:rsidRDefault="003E1DCD">
    <w:pPr>
      <w:pStyle w:val="Piedepgina"/>
      <w:rPr>
        <w:sz w:val="1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FFB7" w14:textId="5F16AB7D" w:rsidR="003E1DCD" w:rsidRDefault="003E1DCD" w:rsidP="00FB34C4">
    <w:pPr>
      <w:jc w:val="right"/>
    </w:pPr>
    <w:r w:rsidRPr="00D4514E">
      <w:rPr>
        <w:rFonts w:eastAsia="Calibri" w:cs="Arial"/>
        <w:b/>
        <w:bCs/>
        <w:iCs/>
        <w:sz w:val="22"/>
        <w:szCs w:val="24"/>
      </w:rPr>
      <w:t>Fecha de aprobación:</w:t>
    </w:r>
    <w:r>
      <w:rPr>
        <w:rFonts w:eastAsia="Calibri" w:cs="Arial"/>
        <w:b/>
        <w:bCs/>
        <w:iCs/>
        <w:sz w:val="22"/>
        <w:szCs w:val="24"/>
      </w:rPr>
      <w:t xml:space="preserve"> </w:t>
    </w:r>
    <w:r w:rsidRPr="00FF5E51">
      <w:rPr>
        <w:rFonts w:eastAsia="Calibri" w:cs="Arial"/>
        <w:iCs/>
        <w:sz w:val="22"/>
        <w:szCs w:val="24"/>
      </w:rPr>
      <w:t xml:space="preserve">Sesión </w:t>
    </w:r>
    <w:r w:rsidRPr="005623FD">
      <w:rPr>
        <w:rFonts w:eastAsia="Calibri" w:cs="Arial"/>
        <w:iCs/>
        <w:sz w:val="22"/>
        <w:szCs w:val="24"/>
      </w:rPr>
      <w:t>CD-</w:t>
    </w:r>
    <w:r w:rsidR="0015169A">
      <w:rPr>
        <w:rFonts w:eastAsia="Calibri" w:cs="Arial"/>
        <w:iCs/>
        <w:sz w:val="22"/>
        <w:szCs w:val="24"/>
      </w:rPr>
      <w:t>03</w:t>
    </w:r>
    <w:r w:rsidRPr="005623FD">
      <w:rPr>
        <w:rFonts w:eastAsia="Calibri" w:cs="Arial"/>
        <w:iCs/>
        <w:sz w:val="22"/>
        <w:szCs w:val="24"/>
      </w:rPr>
      <w:t xml:space="preserve">/2023 del </w:t>
    </w:r>
    <w:r w:rsidR="003F5C9F">
      <w:rPr>
        <w:rFonts w:eastAsia="Calibri" w:cs="Arial"/>
        <w:iCs/>
        <w:sz w:val="22"/>
        <w:szCs w:val="24"/>
      </w:rPr>
      <w:t>10</w:t>
    </w:r>
    <w:r w:rsidRPr="005623FD">
      <w:rPr>
        <w:rFonts w:eastAsia="Calibri" w:cs="Arial"/>
        <w:iCs/>
        <w:sz w:val="22"/>
        <w:szCs w:val="24"/>
      </w:rPr>
      <w:t xml:space="preserve"> de </w:t>
    </w:r>
    <w:r w:rsidR="0015169A">
      <w:rPr>
        <w:rFonts w:eastAsia="Calibri" w:cs="Arial"/>
        <w:iCs/>
        <w:sz w:val="22"/>
        <w:szCs w:val="24"/>
      </w:rPr>
      <w:t>febrero</w:t>
    </w:r>
    <w:r w:rsidRPr="005623FD">
      <w:rPr>
        <w:rFonts w:eastAsia="Calibri" w:cs="Arial"/>
        <w:iCs/>
        <w:sz w:val="22"/>
        <w:szCs w:val="24"/>
      </w:rPr>
      <w:t xml:space="preserve"> de 2023</w:t>
    </w:r>
  </w:p>
  <w:p w14:paraId="5A66E75F" w14:textId="77777777" w:rsidR="003E1DCD" w:rsidRDefault="003E1DCD">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FFB6" w14:textId="40068904" w:rsidR="003E1DCD" w:rsidRDefault="003E1DCD" w:rsidP="00CE663B">
    <w:pPr>
      <w:tabs>
        <w:tab w:val="left" w:pos="7830"/>
      </w:tabs>
      <w:jc w:val="right"/>
      <w:rPr>
        <w:rFonts w:eastAsia="Calibri" w:cs="Arial"/>
        <w:bCs/>
        <w:iCs/>
        <w:sz w:val="22"/>
        <w:szCs w:val="24"/>
      </w:rPr>
    </w:pPr>
    <w:r>
      <w:rPr>
        <w:rFonts w:eastAsia="Calibri" w:cs="Arial"/>
        <w:b/>
        <w:bCs/>
        <w:iCs/>
        <w:sz w:val="22"/>
        <w:szCs w:val="24"/>
      </w:rPr>
      <w:t xml:space="preserve">          </w:t>
    </w:r>
    <w:r w:rsidRPr="00D4514E">
      <w:rPr>
        <w:rFonts w:eastAsia="Calibri" w:cs="Arial"/>
        <w:b/>
        <w:bCs/>
        <w:iCs/>
        <w:sz w:val="22"/>
        <w:szCs w:val="24"/>
      </w:rPr>
      <w:t>Fecha de aprobación:</w:t>
    </w:r>
    <w:r>
      <w:rPr>
        <w:rFonts w:eastAsia="Calibri" w:cs="Arial"/>
        <w:b/>
        <w:bCs/>
        <w:iCs/>
        <w:sz w:val="22"/>
        <w:szCs w:val="24"/>
      </w:rPr>
      <w:t xml:space="preserve"> </w:t>
    </w:r>
    <w:r w:rsidRPr="00FF5E51">
      <w:rPr>
        <w:rFonts w:eastAsia="Calibri" w:cs="Arial"/>
        <w:iCs/>
        <w:sz w:val="22"/>
        <w:szCs w:val="24"/>
      </w:rPr>
      <w:t xml:space="preserve">Sesión </w:t>
    </w:r>
    <w:r w:rsidRPr="005623FD">
      <w:rPr>
        <w:rFonts w:eastAsia="Calibri" w:cs="Arial"/>
        <w:iCs/>
        <w:sz w:val="22"/>
        <w:szCs w:val="24"/>
      </w:rPr>
      <w:t>CD-</w:t>
    </w:r>
    <w:r w:rsidR="0015169A">
      <w:rPr>
        <w:rFonts w:eastAsia="Calibri" w:cs="Arial"/>
        <w:iCs/>
        <w:sz w:val="22"/>
        <w:szCs w:val="24"/>
      </w:rPr>
      <w:t>03</w:t>
    </w:r>
    <w:r w:rsidRPr="005623FD">
      <w:rPr>
        <w:rFonts w:eastAsia="Calibri" w:cs="Arial"/>
        <w:iCs/>
        <w:sz w:val="22"/>
        <w:szCs w:val="24"/>
      </w:rPr>
      <w:t xml:space="preserve">/2023 del </w:t>
    </w:r>
    <w:r w:rsidR="003F5C9F">
      <w:rPr>
        <w:rFonts w:eastAsia="Calibri" w:cs="Arial"/>
        <w:iCs/>
        <w:sz w:val="22"/>
        <w:szCs w:val="24"/>
      </w:rPr>
      <w:t>10</w:t>
    </w:r>
    <w:r w:rsidRPr="005623FD">
      <w:rPr>
        <w:rFonts w:eastAsia="Calibri" w:cs="Arial"/>
        <w:iCs/>
        <w:sz w:val="22"/>
        <w:szCs w:val="24"/>
      </w:rPr>
      <w:t xml:space="preserve"> de </w:t>
    </w:r>
    <w:r w:rsidR="0015169A">
      <w:rPr>
        <w:rFonts w:eastAsia="Calibri" w:cs="Arial"/>
        <w:iCs/>
        <w:sz w:val="22"/>
        <w:szCs w:val="24"/>
      </w:rPr>
      <w:t>febrero</w:t>
    </w:r>
    <w:r w:rsidRPr="005623FD">
      <w:rPr>
        <w:rFonts w:eastAsia="Calibri" w:cs="Arial"/>
        <w:iCs/>
        <w:sz w:val="22"/>
        <w:szCs w:val="24"/>
      </w:rPr>
      <w:t xml:space="preserve"> de 2023</w:t>
    </w:r>
  </w:p>
  <w:p w14:paraId="0E9A2D5C" w14:textId="77777777" w:rsidR="003E1DCD" w:rsidRDefault="003E1DCD">
    <w:pPr>
      <w:pStyle w:val="Piedepgina"/>
      <w:rPr>
        <w:sz w:val="10"/>
      </w:rPr>
    </w:pPr>
  </w:p>
  <w:p w14:paraId="3D99BFF4" w14:textId="77777777" w:rsidR="003E1DCD" w:rsidRDefault="003E1DCD">
    <w:pPr>
      <w:pStyle w:val="Piedepgina"/>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C7EE3" w14:textId="77777777" w:rsidR="007B79DA" w:rsidRDefault="007B79DA" w:rsidP="00A15907">
      <w:r>
        <w:separator/>
      </w:r>
    </w:p>
  </w:footnote>
  <w:footnote w:type="continuationSeparator" w:id="0">
    <w:p w14:paraId="5BB59BE2" w14:textId="77777777" w:rsidR="007B79DA" w:rsidRDefault="007B79DA" w:rsidP="00A15907">
      <w:r>
        <w:continuationSeparator/>
      </w:r>
    </w:p>
  </w:footnote>
  <w:footnote w:type="continuationNotice" w:id="1">
    <w:p w14:paraId="291EC643" w14:textId="77777777" w:rsidR="007B79DA" w:rsidRDefault="007B79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3E1DCD" w:rsidRPr="00F04426" w14:paraId="7BE24158" w14:textId="77777777" w:rsidTr="003E1DCD">
      <w:tc>
        <w:tcPr>
          <w:tcW w:w="2622" w:type="dxa"/>
          <w:shd w:val="clear" w:color="auto" w:fill="E6E6E6"/>
          <w:vAlign w:val="center"/>
        </w:tcPr>
        <w:p w14:paraId="4DC38DA0" w14:textId="77777777" w:rsidR="003E1DCD" w:rsidRDefault="003E1DCD" w:rsidP="00DF68DF">
          <w:pPr>
            <w:pStyle w:val="Encabezado"/>
            <w:jc w:val="center"/>
            <w:rPr>
              <w:b/>
              <w:bCs/>
              <w:i/>
              <w:iCs/>
              <w:sz w:val="18"/>
            </w:rPr>
          </w:pPr>
          <w:r>
            <w:rPr>
              <w:b/>
              <w:bCs/>
              <w:i/>
              <w:iCs/>
              <w:sz w:val="18"/>
            </w:rPr>
            <w:t>BANCO CENTRAL DE RESERVA DE EL SALVADOR</w:t>
          </w:r>
        </w:p>
      </w:tc>
      <w:tc>
        <w:tcPr>
          <w:tcW w:w="3544" w:type="dxa"/>
          <w:shd w:val="clear" w:color="auto" w:fill="E6E6E6"/>
          <w:vAlign w:val="center"/>
        </w:tcPr>
        <w:p w14:paraId="621D0000" w14:textId="77777777" w:rsidR="003E1DCD" w:rsidRDefault="003E1DCD" w:rsidP="00DF68DF">
          <w:pPr>
            <w:pStyle w:val="Encabezado"/>
            <w:jc w:val="center"/>
            <w:rPr>
              <w:b/>
              <w:bCs/>
              <w:i/>
              <w:iCs/>
              <w:sz w:val="18"/>
            </w:rPr>
          </w:pPr>
          <w:r>
            <w:rPr>
              <w:b/>
              <w:bCs/>
              <w:i/>
              <w:iCs/>
              <w:sz w:val="18"/>
            </w:rPr>
            <w:t>INSTRUCTIVO PARA LA ADMINISTRACIÓN Y OPERACIÓN DE PAGOS MASIVOS</w:t>
          </w:r>
        </w:p>
      </w:tc>
      <w:tc>
        <w:tcPr>
          <w:tcW w:w="3260" w:type="dxa"/>
          <w:shd w:val="clear" w:color="auto" w:fill="E6E6E6"/>
          <w:vAlign w:val="center"/>
        </w:tcPr>
        <w:p w14:paraId="0D95E7C7" w14:textId="77777777" w:rsidR="003E1DCD" w:rsidRPr="00957E7B" w:rsidRDefault="003E1DCD" w:rsidP="00DF68DF">
          <w:pPr>
            <w:pStyle w:val="Encabezado"/>
            <w:spacing w:before="120"/>
            <w:jc w:val="center"/>
            <w:rPr>
              <w:b/>
              <w:bCs/>
              <w:i/>
              <w:iCs/>
              <w:sz w:val="18"/>
            </w:rPr>
          </w:pPr>
          <w:r>
            <w:rPr>
              <w:b/>
              <w:bCs/>
              <w:i/>
              <w:iCs/>
              <w:sz w:val="18"/>
            </w:rPr>
            <w:t>DEPARTAMENTO DE PAGOS Y VALORES</w:t>
          </w:r>
        </w:p>
        <w:p w14:paraId="4AE986B9" w14:textId="77777777" w:rsidR="003E1DCD" w:rsidRPr="00F04426" w:rsidRDefault="003E1DCD" w:rsidP="00DF68DF">
          <w:pPr>
            <w:pStyle w:val="Encabezado"/>
            <w:jc w:val="center"/>
            <w:rPr>
              <w:b/>
              <w:bCs/>
              <w:i/>
              <w:iCs/>
              <w:sz w:val="16"/>
            </w:rPr>
          </w:pPr>
        </w:p>
      </w:tc>
    </w:tr>
  </w:tbl>
  <w:p w14:paraId="52AA9BD0" w14:textId="77777777" w:rsidR="003E1DCD" w:rsidRDefault="003E1DCD">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7707" w14:textId="77777777" w:rsidR="003E1DCD" w:rsidRDefault="003E1DCD" w:rsidP="002B07FB">
    <w:pPr>
      <w:pStyle w:val="Encabezado"/>
      <w:tabs>
        <w:tab w:val="left" w:pos="6237"/>
      </w:tabs>
      <w:rPr>
        <w:sz w:val="10"/>
      </w:rPr>
    </w:pPr>
  </w:p>
  <w:p w14:paraId="032F237C" w14:textId="77777777" w:rsidR="003E1DCD" w:rsidRDefault="003E1DCD">
    <w:pPr>
      <w:pStyle w:val="Encabezado"/>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3E1DCD" w:rsidRPr="00F04426" w14:paraId="7D34AB12" w14:textId="77777777" w:rsidTr="003E1DCD">
      <w:tc>
        <w:tcPr>
          <w:tcW w:w="2622" w:type="dxa"/>
          <w:shd w:val="clear" w:color="auto" w:fill="E6E6E6"/>
          <w:vAlign w:val="center"/>
        </w:tcPr>
        <w:p w14:paraId="1A627AF9" w14:textId="77777777" w:rsidR="003E1DCD" w:rsidRDefault="003E1DCD" w:rsidP="004B79C3">
          <w:pPr>
            <w:pStyle w:val="Encabezado"/>
            <w:jc w:val="center"/>
            <w:rPr>
              <w:b/>
              <w:bCs/>
              <w:i/>
              <w:iCs/>
              <w:sz w:val="18"/>
            </w:rPr>
          </w:pPr>
          <w:r>
            <w:rPr>
              <w:b/>
              <w:bCs/>
              <w:i/>
              <w:iCs/>
              <w:sz w:val="18"/>
            </w:rPr>
            <w:t>BANCO CENTRAL DE RESERVA DE EL SALVADOR</w:t>
          </w:r>
        </w:p>
      </w:tc>
      <w:tc>
        <w:tcPr>
          <w:tcW w:w="3544" w:type="dxa"/>
          <w:shd w:val="clear" w:color="auto" w:fill="E6E6E6"/>
          <w:vAlign w:val="center"/>
        </w:tcPr>
        <w:p w14:paraId="4F147135" w14:textId="77777777" w:rsidR="003E1DCD" w:rsidRDefault="003E1DCD" w:rsidP="004B79C3">
          <w:pPr>
            <w:pStyle w:val="Encabezado"/>
            <w:jc w:val="center"/>
            <w:rPr>
              <w:b/>
              <w:bCs/>
              <w:i/>
              <w:iCs/>
              <w:sz w:val="18"/>
            </w:rPr>
          </w:pPr>
          <w:r>
            <w:rPr>
              <w:b/>
              <w:bCs/>
              <w:i/>
              <w:iCs/>
              <w:sz w:val="18"/>
            </w:rPr>
            <w:t>INSTRUCTIVO PARA LA ADMINISTRACIÓN Y OPERACIÓN DE PAGOS MASIVOS</w:t>
          </w:r>
        </w:p>
      </w:tc>
      <w:tc>
        <w:tcPr>
          <w:tcW w:w="3260" w:type="dxa"/>
          <w:shd w:val="clear" w:color="auto" w:fill="E6E6E6"/>
          <w:vAlign w:val="center"/>
        </w:tcPr>
        <w:p w14:paraId="5E47D46B" w14:textId="77777777" w:rsidR="003E1DCD" w:rsidRPr="00957E7B" w:rsidRDefault="003E1DCD" w:rsidP="004B79C3">
          <w:pPr>
            <w:pStyle w:val="Encabezado"/>
            <w:spacing w:before="120"/>
            <w:jc w:val="center"/>
            <w:rPr>
              <w:b/>
              <w:bCs/>
              <w:i/>
              <w:iCs/>
              <w:sz w:val="18"/>
            </w:rPr>
          </w:pPr>
          <w:r>
            <w:rPr>
              <w:b/>
              <w:bCs/>
              <w:i/>
              <w:iCs/>
              <w:sz w:val="18"/>
            </w:rPr>
            <w:t>DEPARTAMENTO DE PAGOS Y VALORES</w:t>
          </w:r>
        </w:p>
        <w:p w14:paraId="04AD08BB" w14:textId="77777777" w:rsidR="003E1DCD" w:rsidRPr="00F04426" w:rsidRDefault="003E1DCD" w:rsidP="004B79C3">
          <w:pPr>
            <w:pStyle w:val="Encabezado"/>
            <w:jc w:val="center"/>
            <w:rPr>
              <w:b/>
              <w:bCs/>
              <w:i/>
              <w:iCs/>
              <w:sz w:val="16"/>
            </w:rPr>
          </w:pPr>
        </w:p>
      </w:tc>
    </w:tr>
  </w:tbl>
  <w:p w14:paraId="6893DA22" w14:textId="77777777" w:rsidR="003E1DCD" w:rsidRDefault="003E1DC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8B92" w14:textId="77777777" w:rsidR="003E1DCD" w:rsidRDefault="003E1DC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22"/>
      <w:gridCol w:w="3544"/>
      <w:gridCol w:w="3260"/>
    </w:tblGrid>
    <w:tr w:rsidR="003E1DCD" w:rsidRPr="00F04426" w14:paraId="04876466" w14:textId="77777777" w:rsidTr="003E1DCD">
      <w:tc>
        <w:tcPr>
          <w:tcW w:w="2622" w:type="dxa"/>
          <w:shd w:val="clear" w:color="auto" w:fill="E6E6E6"/>
          <w:vAlign w:val="center"/>
        </w:tcPr>
        <w:p w14:paraId="716A0A15" w14:textId="77777777" w:rsidR="003E1DCD" w:rsidRDefault="003E1DCD" w:rsidP="007D4211">
          <w:pPr>
            <w:pStyle w:val="Encabezado"/>
            <w:jc w:val="center"/>
            <w:rPr>
              <w:b/>
              <w:bCs/>
              <w:i/>
              <w:iCs/>
              <w:sz w:val="18"/>
            </w:rPr>
          </w:pPr>
          <w:r>
            <w:rPr>
              <w:b/>
              <w:bCs/>
              <w:i/>
              <w:iCs/>
              <w:sz w:val="18"/>
            </w:rPr>
            <w:t>BANCO CENTRAL DE RESERVA DE EL SALVADOR</w:t>
          </w:r>
        </w:p>
      </w:tc>
      <w:tc>
        <w:tcPr>
          <w:tcW w:w="3544" w:type="dxa"/>
          <w:shd w:val="clear" w:color="auto" w:fill="E6E6E6"/>
          <w:vAlign w:val="center"/>
        </w:tcPr>
        <w:p w14:paraId="0C11B600" w14:textId="77777777" w:rsidR="003E1DCD" w:rsidRDefault="003E1DCD" w:rsidP="007D4211">
          <w:pPr>
            <w:pStyle w:val="Encabezado"/>
            <w:jc w:val="center"/>
            <w:rPr>
              <w:b/>
              <w:bCs/>
              <w:i/>
              <w:iCs/>
              <w:sz w:val="18"/>
            </w:rPr>
          </w:pPr>
          <w:r>
            <w:rPr>
              <w:b/>
              <w:bCs/>
              <w:i/>
              <w:iCs/>
              <w:sz w:val="18"/>
            </w:rPr>
            <w:t>INSTRUCTIVO PARA LA ADMINISTRACIÓN Y OPERACIÓN DE PAGOS MASIVOS</w:t>
          </w:r>
        </w:p>
      </w:tc>
      <w:tc>
        <w:tcPr>
          <w:tcW w:w="3260" w:type="dxa"/>
          <w:shd w:val="clear" w:color="auto" w:fill="E6E6E6"/>
          <w:vAlign w:val="center"/>
        </w:tcPr>
        <w:p w14:paraId="1E7FE6E8" w14:textId="77777777" w:rsidR="003E1DCD" w:rsidRPr="00957E7B" w:rsidRDefault="003E1DCD" w:rsidP="007D4211">
          <w:pPr>
            <w:pStyle w:val="Encabezado"/>
            <w:spacing w:before="120"/>
            <w:jc w:val="center"/>
            <w:rPr>
              <w:b/>
              <w:bCs/>
              <w:i/>
              <w:iCs/>
              <w:sz w:val="18"/>
            </w:rPr>
          </w:pPr>
          <w:r>
            <w:rPr>
              <w:b/>
              <w:bCs/>
              <w:i/>
              <w:iCs/>
              <w:sz w:val="18"/>
            </w:rPr>
            <w:t>DEPARTAMENTO DE PAGOS Y VALORES</w:t>
          </w:r>
        </w:p>
        <w:p w14:paraId="2BCA2202" w14:textId="77777777" w:rsidR="003E1DCD" w:rsidRPr="00F04426" w:rsidRDefault="003E1DCD" w:rsidP="007D4211">
          <w:pPr>
            <w:pStyle w:val="Encabezado"/>
            <w:jc w:val="center"/>
            <w:rPr>
              <w:b/>
              <w:bCs/>
              <w:i/>
              <w:iCs/>
              <w:sz w:val="16"/>
            </w:rPr>
          </w:pPr>
        </w:p>
      </w:tc>
    </w:tr>
  </w:tbl>
  <w:p w14:paraId="05CD9ECA" w14:textId="77777777" w:rsidR="003E1DCD" w:rsidRDefault="003E1DC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64F9" w14:textId="77777777" w:rsidR="003E1DCD" w:rsidRDefault="003E1DCD">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4C0A" w14:textId="77777777" w:rsidR="003E1DCD" w:rsidRDefault="003E1DCD">
    <w:pPr>
      <w:pStyle w:val="Encabezado"/>
      <w:rPr>
        <w:sz w:val="10"/>
      </w:rPr>
    </w:pPr>
  </w:p>
  <w:p w14:paraId="292FE1D8" w14:textId="77777777" w:rsidR="003E1DCD" w:rsidRDefault="003E1DCD">
    <w:pPr>
      <w:pStyle w:val="Encabezado"/>
    </w:pPr>
  </w:p>
  <w:p w14:paraId="2CF7D684" w14:textId="77777777" w:rsidR="003E1DCD" w:rsidRDefault="003E1DCD">
    <w:pPr>
      <w:pStyle w:val="Encabezado"/>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E775" w14:textId="77777777" w:rsidR="003E1DCD" w:rsidRPr="006B1CD1" w:rsidRDefault="003E1DCD" w:rsidP="006B1CD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8719" w14:textId="77777777" w:rsidR="003E1DCD" w:rsidRDefault="003E1DCD">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E90D" w14:textId="28106A2E" w:rsidR="003E1DCD" w:rsidRDefault="003E1DCD">
    <w:pPr>
      <w:pStyle w:val="Encabezado"/>
      <w:rPr>
        <w:sz w:val="10"/>
      </w:rPr>
    </w:pPr>
    <w:r>
      <w:rPr>
        <w:noProof/>
      </w:rPr>
      <w:drawing>
        <wp:anchor distT="0" distB="0" distL="114300" distR="114300" simplePos="0" relativeHeight="251658240" behindDoc="1" locked="0" layoutInCell="1" allowOverlap="1" wp14:anchorId="18C6304B" wp14:editId="06376EF6">
          <wp:simplePos x="0" y="0"/>
          <wp:positionH relativeFrom="margin">
            <wp:posOffset>0</wp:posOffset>
          </wp:positionH>
          <wp:positionV relativeFrom="paragraph">
            <wp:posOffset>73660</wp:posOffset>
          </wp:positionV>
          <wp:extent cx="644936" cy="622174"/>
          <wp:effectExtent l="0" t="0" r="3175" b="6985"/>
          <wp:wrapTight wrapText="bothSides">
            <wp:wrapPolygon edited="0">
              <wp:start x="6384" y="0"/>
              <wp:lineTo x="0" y="3309"/>
              <wp:lineTo x="0" y="17871"/>
              <wp:lineTo x="7661" y="21181"/>
              <wp:lineTo x="13407" y="21181"/>
              <wp:lineTo x="21068" y="17871"/>
              <wp:lineTo x="21068" y="3309"/>
              <wp:lineTo x="14684" y="0"/>
              <wp:lineTo x="6384" y="0"/>
            </wp:wrapPolygon>
          </wp:wrapTight>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44603" b="1"/>
                  <a:stretch/>
                </pic:blipFill>
                <pic:spPr bwMode="auto">
                  <a:xfrm>
                    <a:off x="0" y="0"/>
                    <a:ext cx="644936" cy="622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3625A" w14:textId="0BEEBF9A" w:rsidR="003E1DCD" w:rsidRDefault="003E1DCD">
    <w:pPr>
      <w:pStyle w:val="Encabezado"/>
    </w:pPr>
  </w:p>
  <w:p w14:paraId="2CF0ED3D" w14:textId="47CF9AAD" w:rsidR="003E1DCD" w:rsidRDefault="003E1DCD">
    <w:pPr>
      <w:pStyle w:val="Encabezad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706"/>
    <w:multiLevelType w:val="multilevel"/>
    <w:tmpl w:val="FCE8F8CA"/>
    <w:lvl w:ilvl="0">
      <w:start w:val="2"/>
      <w:numFmt w:val="decimal"/>
      <w:lvlText w:val="%1"/>
      <w:lvlJc w:val="left"/>
      <w:pPr>
        <w:tabs>
          <w:tab w:val="num" w:pos="5691"/>
        </w:tabs>
        <w:ind w:left="5691" w:hanging="585"/>
      </w:pPr>
      <w:rPr>
        <w:rFonts w:hint="default"/>
      </w:rPr>
    </w:lvl>
    <w:lvl w:ilvl="1">
      <w:start w:val="1"/>
      <w:numFmt w:val="decimal"/>
      <w:lvlText w:val="%1.%2"/>
      <w:lvlJc w:val="left"/>
      <w:pPr>
        <w:tabs>
          <w:tab w:val="num" w:pos="6903"/>
        </w:tabs>
        <w:ind w:left="6903" w:hanging="720"/>
      </w:pPr>
      <w:rPr>
        <w:rFonts w:hint="default"/>
      </w:rPr>
    </w:lvl>
    <w:lvl w:ilvl="2">
      <w:start w:val="1"/>
      <w:numFmt w:val="decimal"/>
      <w:lvlText w:val="%1.%2.%3"/>
      <w:lvlJc w:val="left"/>
      <w:pPr>
        <w:tabs>
          <w:tab w:val="num" w:pos="7980"/>
        </w:tabs>
        <w:ind w:left="7980" w:hanging="720"/>
      </w:pPr>
      <w:rPr>
        <w:rFonts w:hint="default"/>
      </w:rPr>
    </w:lvl>
    <w:lvl w:ilvl="3">
      <w:start w:val="1"/>
      <w:numFmt w:val="decimal"/>
      <w:lvlText w:val="%1.%2.%3.%4"/>
      <w:lvlJc w:val="left"/>
      <w:pPr>
        <w:tabs>
          <w:tab w:val="num" w:pos="9417"/>
        </w:tabs>
        <w:ind w:left="9417" w:hanging="1080"/>
      </w:pPr>
      <w:rPr>
        <w:rFonts w:hint="default"/>
      </w:rPr>
    </w:lvl>
    <w:lvl w:ilvl="4">
      <w:start w:val="1"/>
      <w:numFmt w:val="decimal"/>
      <w:lvlText w:val="%1.%2.%3.%4.%5"/>
      <w:lvlJc w:val="left"/>
      <w:pPr>
        <w:tabs>
          <w:tab w:val="num" w:pos="10854"/>
        </w:tabs>
        <w:ind w:left="10854" w:hanging="1440"/>
      </w:pPr>
      <w:rPr>
        <w:rFonts w:hint="default"/>
      </w:rPr>
    </w:lvl>
    <w:lvl w:ilvl="5">
      <w:start w:val="1"/>
      <w:numFmt w:val="decimal"/>
      <w:lvlText w:val="%1.%2.%3.%4.%5.%6"/>
      <w:lvlJc w:val="left"/>
      <w:pPr>
        <w:tabs>
          <w:tab w:val="num" w:pos="11931"/>
        </w:tabs>
        <w:ind w:left="11931" w:hanging="1440"/>
      </w:pPr>
      <w:rPr>
        <w:rFonts w:hint="default"/>
      </w:rPr>
    </w:lvl>
    <w:lvl w:ilvl="6">
      <w:start w:val="1"/>
      <w:numFmt w:val="decimal"/>
      <w:lvlText w:val="%1.%2.%3.%4.%5.%6.%7"/>
      <w:lvlJc w:val="left"/>
      <w:pPr>
        <w:tabs>
          <w:tab w:val="num" w:pos="13368"/>
        </w:tabs>
        <w:ind w:left="13368" w:hanging="1800"/>
      </w:pPr>
      <w:rPr>
        <w:rFonts w:hint="default"/>
      </w:rPr>
    </w:lvl>
    <w:lvl w:ilvl="7">
      <w:start w:val="1"/>
      <w:numFmt w:val="decimal"/>
      <w:lvlText w:val="%1.%2.%3.%4.%5.%6.%7.%8"/>
      <w:lvlJc w:val="left"/>
      <w:pPr>
        <w:tabs>
          <w:tab w:val="num" w:pos="14805"/>
        </w:tabs>
        <w:ind w:left="14805" w:hanging="2160"/>
      </w:pPr>
      <w:rPr>
        <w:rFonts w:hint="default"/>
      </w:rPr>
    </w:lvl>
    <w:lvl w:ilvl="8">
      <w:start w:val="1"/>
      <w:numFmt w:val="decimal"/>
      <w:lvlText w:val="%1.%2.%3.%4.%5.%6.%7.%8.%9"/>
      <w:lvlJc w:val="left"/>
      <w:pPr>
        <w:tabs>
          <w:tab w:val="num" w:pos="15882"/>
        </w:tabs>
        <w:ind w:left="15882" w:hanging="2160"/>
      </w:pPr>
      <w:rPr>
        <w:rFonts w:hint="default"/>
      </w:rPr>
    </w:lvl>
  </w:abstractNum>
  <w:abstractNum w:abstractNumId="1" w15:restartNumberingAfterBreak="0">
    <w:nsid w:val="07B3103A"/>
    <w:multiLevelType w:val="multilevel"/>
    <w:tmpl w:val="4A68D0DC"/>
    <w:lvl w:ilvl="0">
      <w:start w:val="8"/>
      <w:numFmt w:val="decimal"/>
      <w:lvlText w:val="%1"/>
      <w:lvlJc w:val="left"/>
      <w:pPr>
        <w:ind w:left="360" w:hanging="360"/>
      </w:pPr>
      <w:rPr>
        <w:rFonts w:ascii="Arial" w:eastAsia="Calibri" w:hAnsi="Arial" w:cs="Arial" w:hint="default"/>
        <w:sz w:val="22"/>
      </w:rPr>
    </w:lvl>
    <w:lvl w:ilvl="1">
      <w:start w:val="2"/>
      <w:numFmt w:val="decimal"/>
      <w:lvlText w:val="%1.%2"/>
      <w:lvlJc w:val="left"/>
      <w:pPr>
        <w:ind w:left="334" w:hanging="360"/>
      </w:pPr>
      <w:rPr>
        <w:rFonts w:ascii="Arial" w:eastAsia="Calibri" w:hAnsi="Arial" w:cs="Arial" w:hint="default"/>
        <w:sz w:val="22"/>
      </w:rPr>
    </w:lvl>
    <w:lvl w:ilvl="2">
      <w:start w:val="1"/>
      <w:numFmt w:val="decimal"/>
      <w:lvlText w:val="%1.%2.%3"/>
      <w:lvlJc w:val="left"/>
      <w:pPr>
        <w:ind w:left="668" w:hanging="720"/>
      </w:pPr>
      <w:rPr>
        <w:rFonts w:ascii="Arial" w:eastAsia="Calibri" w:hAnsi="Arial" w:cs="Arial" w:hint="default"/>
        <w:sz w:val="22"/>
      </w:rPr>
    </w:lvl>
    <w:lvl w:ilvl="3">
      <w:start w:val="1"/>
      <w:numFmt w:val="decimal"/>
      <w:lvlText w:val="%1.%2.%3.%4"/>
      <w:lvlJc w:val="left"/>
      <w:pPr>
        <w:ind w:left="642" w:hanging="720"/>
      </w:pPr>
      <w:rPr>
        <w:rFonts w:ascii="Arial" w:eastAsia="Calibri" w:hAnsi="Arial" w:cs="Arial" w:hint="default"/>
        <w:sz w:val="22"/>
      </w:rPr>
    </w:lvl>
    <w:lvl w:ilvl="4">
      <w:start w:val="1"/>
      <w:numFmt w:val="decimal"/>
      <w:lvlText w:val="%1.%2.%3.%4.%5"/>
      <w:lvlJc w:val="left"/>
      <w:pPr>
        <w:ind w:left="976" w:hanging="1080"/>
      </w:pPr>
      <w:rPr>
        <w:rFonts w:ascii="Arial" w:eastAsia="Calibri" w:hAnsi="Arial" w:cs="Arial" w:hint="default"/>
        <w:sz w:val="22"/>
      </w:rPr>
    </w:lvl>
    <w:lvl w:ilvl="5">
      <w:start w:val="1"/>
      <w:numFmt w:val="decimal"/>
      <w:lvlText w:val="%1.%2.%3.%4.%5.%6"/>
      <w:lvlJc w:val="left"/>
      <w:pPr>
        <w:ind w:left="950" w:hanging="1080"/>
      </w:pPr>
      <w:rPr>
        <w:rFonts w:ascii="Arial" w:eastAsia="Calibri" w:hAnsi="Arial" w:cs="Arial" w:hint="default"/>
        <w:sz w:val="22"/>
      </w:rPr>
    </w:lvl>
    <w:lvl w:ilvl="6">
      <w:start w:val="1"/>
      <w:numFmt w:val="decimal"/>
      <w:lvlText w:val="%1.%2.%3.%4.%5.%6.%7"/>
      <w:lvlJc w:val="left"/>
      <w:pPr>
        <w:ind w:left="1284" w:hanging="1440"/>
      </w:pPr>
      <w:rPr>
        <w:rFonts w:ascii="Arial" w:eastAsia="Calibri" w:hAnsi="Arial" w:cs="Arial" w:hint="default"/>
        <w:sz w:val="22"/>
      </w:rPr>
    </w:lvl>
    <w:lvl w:ilvl="7">
      <w:start w:val="1"/>
      <w:numFmt w:val="decimal"/>
      <w:lvlText w:val="%1.%2.%3.%4.%5.%6.%7.%8"/>
      <w:lvlJc w:val="left"/>
      <w:pPr>
        <w:ind w:left="1258" w:hanging="1440"/>
      </w:pPr>
      <w:rPr>
        <w:rFonts w:ascii="Arial" w:eastAsia="Calibri" w:hAnsi="Arial" w:cs="Arial" w:hint="default"/>
        <w:sz w:val="22"/>
      </w:rPr>
    </w:lvl>
    <w:lvl w:ilvl="8">
      <w:start w:val="1"/>
      <w:numFmt w:val="decimal"/>
      <w:lvlText w:val="%1.%2.%3.%4.%5.%6.%7.%8.%9"/>
      <w:lvlJc w:val="left"/>
      <w:pPr>
        <w:ind w:left="1592" w:hanging="1800"/>
      </w:pPr>
      <w:rPr>
        <w:rFonts w:ascii="Arial" w:eastAsia="Calibri" w:hAnsi="Arial" w:cs="Arial" w:hint="default"/>
        <w:sz w:val="22"/>
      </w:rPr>
    </w:lvl>
  </w:abstractNum>
  <w:abstractNum w:abstractNumId="2" w15:restartNumberingAfterBreak="0">
    <w:nsid w:val="0B660815"/>
    <w:multiLevelType w:val="multilevel"/>
    <w:tmpl w:val="CE2ABC4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76B4A"/>
    <w:multiLevelType w:val="hybridMultilevel"/>
    <w:tmpl w:val="E526850A"/>
    <w:lvl w:ilvl="0" w:tplc="57E454FE">
      <w:start w:val="1"/>
      <w:numFmt w:val="decimal"/>
      <w:lvlText w:val="6.5.1.%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EF44A3"/>
    <w:multiLevelType w:val="multilevel"/>
    <w:tmpl w:val="BA2CBFE4"/>
    <w:lvl w:ilvl="0">
      <w:start w:val="4"/>
      <w:numFmt w:val="decimal"/>
      <w:lvlText w:val="%1"/>
      <w:lvlJc w:val="left"/>
      <w:pPr>
        <w:ind w:left="360" w:hanging="360"/>
      </w:pPr>
      <w:rPr>
        <w:rFonts w:hint="default"/>
        <w:b w:val="0"/>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5" w15:restartNumberingAfterBreak="0">
    <w:nsid w:val="2216523C"/>
    <w:multiLevelType w:val="multilevel"/>
    <w:tmpl w:val="339C33A0"/>
    <w:lvl w:ilvl="0">
      <w:start w:val="1"/>
      <w:numFmt w:val="bullet"/>
      <w:lvlText w:val=""/>
      <w:lvlJc w:val="left"/>
      <w:pPr>
        <w:ind w:left="360" w:hanging="360"/>
      </w:pPr>
      <w:rPr>
        <w:rFonts w:ascii="Symbol" w:hAnsi="Symbol" w:hint="default"/>
      </w:rPr>
    </w:lvl>
    <w:lvl w:ilvl="1">
      <w:start w:val="1"/>
      <w:numFmt w:val="bullet"/>
      <w:lvlText w:val="o"/>
      <w:lvlJc w:val="left"/>
      <w:pPr>
        <w:ind w:left="1072" w:hanging="360"/>
      </w:pPr>
      <w:rPr>
        <w:rFonts w:ascii="Courier New" w:hAnsi="Courier New" w:cs="Courier New" w:hint="default"/>
        <w:b/>
        <w:sz w:val="24"/>
      </w:rPr>
    </w:lvl>
    <w:lvl w:ilvl="2">
      <w:start w:val="1"/>
      <w:numFmt w:val="bullet"/>
      <w:lvlText w:val=""/>
      <w:lvlJc w:val="left"/>
      <w:pPr>
        <w:ind w:left="2144" w:hanging="720"/>
      </w:pPr>
      <w:rPr>
        <w:rFonts w:ascii="Wingdings" w:hAnsi="Wingdings"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6" w15:restartNumberingAfterBreak="0">
    <w:nsid w:val="232F7AE6"/>
    <w:multiLevelType w:val="multilevel"/>
    <w:tmpl w:val="394806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A74204"/>
    <w:multiLevelType w:val="multilevel"/>
    <w:tmpl w:val="60588680"/>
    <w:lvl w:ilvl="0">
      <w:start w:val="1"/>
      <w:numFmt w:val="decimal"/>
      <w:pStyle w:val="Ttulo1"/>
      <w:lvlText w:val="%1."/>
      <w:lvlJc w:val="left"/>
      <w:pPr>
        <w:ind w:left="360" w:hanging="360"/>
      </w:pPr>
    </w:lvl>
    <w:lvl w:ilvl="1">
      <w:start w:val="1"/>
      <w:numFmt w:val="decimal"/>
      <w:pStyle w:val="Ttulo2"/>
      <w:lvlText w:val="%1.%2."/>
      <w:lvlJc w:val="left"/>
      <w:pPr>
        <w:ind w:left="1425" w:hanging="432"/>
      </w:pPr>
      <w:rPr>
        <w:b w:val="0"/>
        <w:bCs w:val="0"/>
        <w:color w:val="auto"/>
      </w:r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6.5.1.%5"/>
      <w:lvlJc w:val="left"/>
      <w:pPr>
        <w:ind w:left="2232" w:hanging="792"/>
      </w:pPr>
      <w:rPr>
        <w:rFonts w:hint="default"/>
        <w:b w:val="0"/>
        <w:i w:val="0"/>
        <w:color w:val="auto"/>
        <w:sz w:val="22"/>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5D6AEC"/>
    <w:multiLevelType w:val="multilevel"/>
    <w:tmpl w:val="6DBAE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C66FBD"/>
    <w:multiLevelType w:val="multilevel"/>
    <w:tmpl w:val="ED3A763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52316FB2"/>
    <w:multiLevelType w:val="multilevel"/>
    <w:tmpl w:val="7C1E2640"/>
    <w:lvl w:ilvl="0">
      <w:start w:val="1"/>
      <w:numFmt w:val="decimal"/>
      <w:lvlText w:val="%1"/>
      <w:lvlJc w:val="left"/>
      <w:pPr>
        <w:ind w:left="360" w:hanging="360"/>
      </w:pPr>
      <w:rPr>
        <w:rFonts w:hint="default"/>
      </w:rPr>
    </w:lvl>
    <w:lvl w:ilvl="1">
      <w:start w:val="1"/>
      <w:numFmt w:val="decimal"/>
      <w:lvlText w:val="%1.%2"/>
      <w:lvlJc w:val="left"/>
      <w:pPr>
        <w:ind w:left="1072" w:hanging="360"/>
      </w:pPr>
      <w:rPr>
        <w:rFonts w:ascii="Arial" w:hAnsi="Arial" w:cs="Arial" w:hint="default"/>
        <w:b/>
      </w:rPr>
    </w:lvl>
    <w:lvl w:ilvl="2">
      <w:start w:val="1"/>
      <w:numFmt w:val="decimal"/>
      <w:lvlText w:val="%1.%2.%3"/>
      <w:lvlJc w:val="left"/>
      <w:pPr>
        <w:ind w:left="1571" w:hanging="720"/>
      </w:pPr>
      <w:rPr>
        <w:rFonts w:ascii="Arial" w:hAnsi="Arial" w:cs="Arial"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1" w15:restartNumberingAfterBreak="0">
    <w:nsid w:val="5D264015"/>
    <w:multiLevelType w:val="multilevel"/>
    <w:tmpl w:val="78526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8234" w:hanging="720"/>
      </w:pPr>
      <w:rPr>
        <w:rFonts w:hint="default"/>
        <w:b w:val="0"/>
        <w:bCs w:val="0"/>
        <w:i w:val="0"/>
        <w:iCs w:val="0"/>
      </w:rPr>
    </w:lvl>
    <w:lvl w:ilvl="3">
      <w:start w:val="1"/>
      <w:numFmt w:val="decimal"/>
      <w:lvlText w:val="%1.%2.%3.%4"/>
      <w:lvlJc w:val="left"/>
      <w:pPr>
        <w:ind w:left="2847" w:hanging="720"/>
      </w:pPr>
      <w:rPr>
        <w:rFonts w:hint="default"/>
        <w:b w:val="0"/>
        <w:bCs/>
      </w:rPr>
    </w:lvl>
    <w:lvl w:ilvl="4">
      <w:start w:val="1"/>
      <w:numFmt w:val="decimal"/>
      <w:lvlText w:val="%1.%2.%3.%4.%5"/>
      <w:lvlJc w:val="left"/>
      <w:pPr>
        <w:ind w:left="3774" w:hanging="1080"/>
      </w:pPr>
      <w:rPr>
        <w:rFonts w:hint="default"/>
        <w:b w:val="0"/>
        <w:bCs/>
      </w:rPr>
    </w:lvl>
    <w:lvl w:ilvl="5">
      <w:start w:val="1"/>
      <w:numFmt w:val="decimal"/>
      <w:lvlText w:val="%1.%2.%3.%4.%5.%6"/>
      <w:lvlJc w:val="left"/>
      <w:pPr>
        <w:ind w:left="5475" w:hanging="1080"/>
      </w:pPr>
      <w:rPr>
        <w:rFonts w:hint="default"/>
        <w:b w:val="0"/>
        <w:bCs/>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8200D4"/>
    <w:multiLevelType w:val="multilevel"/>
    <w:tmpl w:val="F64433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2E7C5E"/>
    <w:multiLevelType w:val="multilevel"/>
    <w:tmpl w:val="45A6829C"/>
    <w:lvl w:ilvl="0">
      <w:start w:val="3"/>
      <w:numFmt w:val="decimal"/>
      <w:lvlText w:val="%1"/>
      <w:lvlJc w:val="left"/>
      <w:pPr>
        <w:ind w:left="480" w:hanging="480"/>
      </w:pPr>
      <w:rPr>
        <w:rFonts w:hint="default"/>
        <w:b/>
      </w:rPr>
    </w:lvl>
    <w:lvl w:ilvl="1">
      <w:start w:val="1"/>
      <w:numFmt w:val="decimal"/>
      <w:lvlText w:val="%1.%2"/>
      <w:lvlJc w:val="left"/>
      <w:pPr>
        <w:ind w:left="1473" w:hanging="480"/>
      </w:pPr>
      <w:rPr>
        <w:rFonts w:hint="default"/>
        <w:b w:val="0"/>
        <w:bCs/>
      </w:rPr>
    </w:lvl>
    <w:lvl w:ilvl="2">
      <w:start w:val="1"/>
      <w:numFmt w:val="decimal"/>
      <w:lvlText w:val="%1.%2.%3"/>
      <w:lvlJc w:val="left"/>
      <w:pPr>
        <w:ind w:left="6391"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4956FE8"/>
    <w:multiLevelType w:val="multilevel"/>
    <w:tmpl w:val="CBCAB8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D85901"/>
    <w:multiLevelType w:val="multilevel"/>
    <w:tmpl w:val="829E7104"/>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6" w15:restartNumberingAfterBreak="0">
    <w:nsid w:val="69006811"/>
    <w:multiLevelType w:val="multilevel"/>
    <w:tmpl w:val="9AAE920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9B8590F"/>
    <w:multiLevelType w:val="multilevel"/>
    <w:tmpl w:val="CAF24810"/>
    <w:lvl w:ilvl="0">
      <w:start w:val="6"/>
      <w:numFmt w:val="decimal"/>
      <w:lvlText w:val="%1"/>
      <w:lvlJc w:val="left"/>
      <w:pPr>
        <w:ind w:left="360" w:hanging="360"/>
      </w:pPr>
      <w:rPr>
        <w:rFonts w:hint="default"/>
        <w:color w:val="auto"/>
      </w:rPr>
    </w:lvl>
    <w:lvl w:ilvl="1">
      <w:start w:val="2"/>
      <w:numFmt w:val="decimal"/>
      <w:lvlText w:val="%1.%2"/>
      <w:lvlJc w:val="left"/>
      <w:pPr>
        <w:ind w:left="691" w:hanging="360"/>
      </w:pPr>
      <w:rPr>
        <w:rFonts w:hint="default"/>
        <w:color w:val="auto"/>
      </w:rPr>
    </w:lvl>
    <w:lvl w:ilvl="2">
      <w:start w:val="1"/>
      <w:numFmt w:val="decimal"/>
      <w:lvlText w:val="%1.%2.%3"/>
      <w:lvlJc w:val="left"/>
      <w:pPr>
        <w:ind w:left="1382" w:hanging="720"/>
      </w:pPr>
      <w:rPr>
        <w:rFonts w:hint="default"/>
        <w:color w:val="auto"/>
      </w:rPr>
    </w:lvl>
    <w:lvl w:ilvl="3">
      <w:start w:val="1"/>
      <w:numFmt w:val="decimal"/>
      <w:lvlText w:val="%1.%2.%3.%4"/>
      <w:lvlJc w:val="left"/>
      <w:pPr>
        <w:ind w:left="1713" w:hanging="720"/>
      </w:pPr>
      <w:rPr>
        <w:rFonts w:hint="default"/>
        <w:color w:val="auto"/>
      </w:rPr>
    </w:lvl>
    <w:lvl w:ilvl="4">
      <w:start w:val="1"/>
      <w:numFmt w:val="decimal"/>
      <w:lvlText w:val="%1.%2.%3.%4.%5"/>
      <w:lvlJc w:val="left"/>
      <w:pPr>
        <w:ind w:left="2404" w:hanging="1080"/>
      </w:pPr>
      <w:rPr>
        <w:rFonts w:hint="default"/>
        <w:color w:val="auto"/>
      </w:rPr>
    </w:lvl>
    <w:lvl w:ilvl="5">
      <w:start w:val="1"/>
      <w:numFmt w:val="decimal"/>
      <w:lvlText w:val="%1.%2.%3.%4.%5.%6"/>
      <w:lvlJc w:val="left"/>
      <w:pPr>
        <w:ind w:left="2735" w:hanging="1080"/>
      </w:pPr>
      <w:rPr>
        <w:rFonts w:hint="default"/>
        <w:color w:val="auto"/>
      </w:rPr>
    </w:lvl>
    <w:lvl w:ilvl="6">
      <w:start w:val="1"/>
      <w:numFmt w:val="decimal"/>
      <w:lvlText w:val="%1.%2.%3.%4.%5.%6.%7"/>
      <w:lvlJc w:val="left"/>
      <w:pPr>
        <w:ind w:left="3426" w:hanging="1440"/>
      </w:pPr>
      <w:rPr>
        <w:rFonts w:hint="default"/>
        <w:color w:val="auto"/>
      </w:rPr>
    </w:lvl>
    <w:lvl w:ilvl="7">
      <w:start w:val="1"/>
      <w:numFmt w:val="decimal"/>
      <w:lvlText w:val="%1.%2.%3.%4.%5.%6.%7.%8"/>
      <w:lvlJc w:val="left"/>
      <w:pPr>
        <w:ind w:left="3757" w:hanging="1440"/>
      </w:pPr>
      <w:rPr>
        <w:rFonts w:hint="default"/>
        <w:color w:val="auto"/>
      </w:rPr>
    </w:lvl>
    <w:lvl w:ilvl="8">
      <w:start w:val="1"/>
      <w:numFmt w:val="decimal"/>
      <w:lvlText w:val="%1.%2.%3.%4.%5.%6.%7.%8.%9"/>
      <w:lvlJc w:val="left"/>
      <w:pPr>
        <w:ind w:left="4448" w:hanging="1800"/>
      </w:pPr>
      <w:rPr>
        <w:rFonts w:hint="default"/>
        <w:color w:val="auto"/>
      </w:rPr>
    </w:lvl>
  </w:abstractNum>
  <w:abstractNum w:abstractNumId="18" w15:restartNumberingAfterBreak="0">
    <w:nsid w:val="7A00296E"/>
    <w:multiLevelType w:val="multilevel"/>
    <w:tmpl w:val="13E81C5E"/>
    <w:lvl w:ilvl="0">
      <w:start w:val="1"/>
      <w:numFmt w:val="bullet"/>
      <w:lvlText w:val=""/>
      <w:lvlJc w:val="left"/>
      <w:pPr>
        <w:ind w:left="360" w:hanging="360"/>
      </w:pPr>
      <w:rPr>
        <w:rFonts w:ascii="Symbol" w:hAnsi="Symbol" w:hint="default"/>
      </w:rPr>
    </w:lvl>
    <w:lvl w:ilvl="1">
      <w:start w:val="1"/>
      <w:numFmt w:val="bullet"/>
      <w:lvlText w:val="o"/>
      <w:lvlJc w:val="left"/>
      <w:pPr>
        <w:ind w:left="1072" w:hanging="360"/>
      </w:pPr>
      <w:rPr>
        <w:rFonts w:ascii="Courier New" w:hAnsi="Courier New" w:cs="Courier New" w:hint="default"/>
        <w:b/>
        <w:sz w:val="24"/>
      </w:rPr>
    </w:lvl>
    <w:lvl w:ilvl="2">
      <w:start w:val="1"/>
      <w:numFmt w:val="bullet"/>
      <w:lvlText w:val=""/>
      <w:lvlJc w:val="left"/>
      <w:pPr>
        <w:ind w:left="2144" w:hanging="720"/>
      </w:pPr>
      <w:rPr>
        <w:rFonts w:ascii="Symbol" w:hAnsi="Symbol" w:hint="default"/>
        <w:b/>
        <w:strike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9" w15:restartNumberingAfterBreak="0">
    <w:nsid w:val="7A1B336F"/>
    <w:multiLevelType w:val="multilevel"/>
    <w:tmpl w:val="D8B2C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CFE75AC"/>
    <w:multiLevelType w:val="hybridMultilevel"/>
    <w:tmpl w:val="E39ECB42"/>
    <w:lvl w:ilvl="0" w:tplc="2AD6B88C">
      <w:start w:val="1"/>
      <w:numFmt w:val="decimal"/>
      <w:lvlText w:val="%1."/>
      <w:lvlJc w:val="left"/>
      <w:pPr>
        <w:tabs>
          <w:tab w:val="num" w:pos="360"/>
        </w:tabs>
        <w:ind w:left="360" w:hanging="360"/>
      </w:pPr>
      <w:rPr>
        <w:rFonts w:hint="default"/>
        <w:b/>
      </w:rPr>
    </w:lvl>
    <w:lvl w:ilvl="1" w:tplc="96F4843A">
      <w:numFmt w:val="none"/>
      <w:lvlText w:val=""/>
      <w:lvlJc w:val="left"/>
      <w:pPr>
        <w:tabs>
          <w:tab w:val="num" w:pos="360"/>
        </w:tabs>
      </w:pPr>
    </w:lvl>
    <w:lvl w:ilvl="2" w:tplc="15F8090A">
      <w:numFmt w:val="none"/>
      <w:lvlText w:val=""/>
      <w:lvlJc w:val="left"/>
      <w:pPr>
        <w:tabs>
          <w:tab w:val="num" w:pos="360"/>
        </w:tabs>
      </w:pPr>
    </w:lvl>
    <w:lvl w:ilvl="3" w:tplc="1ED672FE">
      <w:numFmt w:val="none"/>
      <w:lvlText w:val=""/>
      <w:lvlJc w:val="left"/>
      <w:pPr>
        <w:tabs>
          <w:tab w:val="num" w:pos="360"/>
        </w:tabs>
      </w:pPr>
    </w:lvl>
    <w:lvl w:ilvl="4" w:tplc="F230A5C0">
      <w:numFmt w:val="none"/>
      <w:lvlText w:val=""/>
      <w:lvlJc w:val="left"/>
      <w:pPr>
        <w:tabs>
          <w:tab w:val="num" w:pos="360"/>
        </w:tabs>
      </w:pPr>
    </w:lvl>
    <w:lvl w:ilvl="5" w:tplc="5144EEB4">
      <w:numFmt w:val="none"/>
      <w:lvlText w:val=""/>
      <w:lvlJc w:val="left"/>
      <w:pPr>
        <w:tabs>
          <w:tab w:val="num" w:pos="360"/>
        </w:tabs>
      </w:pPr>
    </w:lvl>
    <w:lvl w:ilvl="6" w:tplc="2ECEF4E6">
      <w:numFmt w:val="none"/>
      <w:lvlText w:val=""/>
      <w:lvlJc w:val="left"/>
      <w:pPr>
        <w:tabs>
          <w:tab w:val="num" w:pos="360"/>
        </w:tabs>
      </w:pPr>
    </w:lvl>
    <w:lvl w:ilvl="7" w:tplc="B756F496">
      <w:numFmt w:val="none"/>
      <w:lvlText w:val=""/>
      <w:lvlJc w:val="left"/>
      <w:pPr>
        <w:tabs>
          <w:tab w:val="num" w:pos="360"/>
        </w:tabs>
      </w:pPr>
    </w:lvl>
    <w:lvl w:ilvl="8" w:tplc="C72ED8CA">
      <w:numFmt w:val="none"/>
      <w:lvlText w:val=""/>
      <w:lvlJc w:val="left"/>
      <w:pPr>
        <w:tabs>
          <w:tab w:val="num" w:pos="360"/>
        </w:tabs>
      </w:pPr>
    </w:lvl>
  </w:abstractNum>
  <w:num w:numId="1" w16cid:durableId="1078090292">
    <w:abstractNumId w:val="7"/>
  </w:num>
  <w:num w:numId="2" w16cid:durableId="1080056323">
    <w:abstractNumId w:val="18"/>
  </w:num>
  <w:num w:numId="3" w16cid:durableId="1217737019">
    <w:abstractNumId w:val="20"/>
  </w:num>
  <w:num w:numId="4" w16cid:durableId="2143498558">
    <w:abstractNumId w:val="0"/>
  </w:num>
  <w:num w:numId="5" w16cid:durableId="842664228">
    <w:abstractNumId w:val="2"/>
  </w:num>
  <w:num w:numId="6" w16cid:durableId="1552501944">
    <w:abstractNumId w:val="13"/>
  </w:num>
  <w:num w:numId="7" w16cid:durableId="46061393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8052526">
    <w:abstractNumId w:val="9"/>
  </w:num>
  <w:num w:numId="9" w16cid:durableId="534079536">
    <w:abstractNumId w:val="15"/>
  </w:num>
  <w:num w:numId="10" w16cid:durableId="1793789570">
    <w:abstractNumId w:val="19"/>
  </w:num>
  <w:num w:numId="11" w16cid:durableId="1876582276">
    <w:abstractNumId w:val="6"/>
  </w:num>
  <w:num w:numId="12" w16cid:durableId="1296837268">
    <w:abstractNumId w:val="8"/>
  </w:num>
  <w:num w:numId="13" w16cid:durableId="1121341119">
    <w:abstractNumId w:val="12"/>
  </w:num>
  <w:num w:numId="14" w16cid:durableId="2017264746">
    <w:abstractNumId w:val="4"/>
  </w:num>
  <w:num w:numId="15" w16cid:durableId="522481038">
    <w:abstractNumId w:val="11"/>
  </w:num>
  <w:num w:numId="16" w16cid:durableId="831946095">
    <w:abstractNumId w:val="16"/>
  </w:num>
  <w:num w:numId="17" w16cid:durableId="224417514">
    <w:abstractNumId w:val="5"/>
  </w:num>
  <w:num w:numId="18" w16cid:durableId="389884711">
    <w:abstractNumId w:val="7"/>
    <w:lvlOverride w:ilvl="0">
      <w:startOverride w:val="5"/>
    </w:lvlOverride>
  </w:num>
  <w:num w:numId="19" w16cid:durableId="2008822799">
    <w:abstractNumId w:val="3"/>
  </w:num>
  <w:num w:numId="20" w16cid:durableId="470750301">
    <w:abstractNumId w:val="17"/>
  </w:num>
  <w:num w:numId="21" w16cid:durableId="1180197190">
    <w:abstractNumId w:val="14"/>
  </w:num>
  <w:num w:numId="22" w16cid:durableId="763963310">
    <w:abstractNumId w:val="7"/>
  </w:num>
  <w:num w:numId="23" w16cid:durableId="1244413866">
    <w:abstractNumId w:val="7"/>
  </w:num>
  <w:num w:numId="24" w16cid:durableId="218901840">
    <w:abstractNumId w:val="7"/>
  </w:num>
  <w:num w:numId="25" w16cid:durableId="1991474949">
    <w:abstractNumId w:val="7"/>
  </w:num>
  <w:num w:numId="26" w16cid:durableId="1187131639">
    <w:abstractNumId w:val="7"/>
  </w:num>
  <w:num w:numId="27" w16cid:durableId="2111393279">
    <w:abstractNumId w:val="7"/>
  </w:num>
  <w:num w:numId="28" w16cid:durableId="1696422397">
    <w:abstractNumId w:val="7"/>
  </w:num>
  <w:num w:numId="29" w16cid:durableId="728648003">
    <w:abstractNumId w:val="7"/>
  </w:num>
  <w:num w:numId="30" w16cid:durableId="2085756467">
    <w:abstractNumId w:val="7"/>
  </w:num>
  <w:num w:numId="31" w16cid:durableId="80756633">
    <w:abstractNumId w:val="7"/>
  </w:num>
  <w:num w:numId="32" w16cid:durableId="472911677">
    <w:abstractNumId w:val="10"/>
  </w:num>
  <w:num w:numId="33" w16cid:durableId="1675036106">
    <w:abstractNumId w:val="7"/>
  </w:num>
  <w:num w:numId="34" w16cid:durableId="1196654330">
    <w:abstractNumId w:val="1"/>
  </w:num>
  <w:num w:numId="35" w16cid:durableId="1105805321">
    <w:abstractNumId w:val="7"/>
  </w:num>
  <w:num w:numId="36" w16cid:durableId="1720863612">
    <w:abstractNumId w:val="7"/>
  </w:num>
  <w:num w:numId="37" w16cid:durableId="36467054">
    <w:abstractNumId w:val="7"/>
  </w:num>
  <w:num w:numId="38" w16cid:durableId="59445649">
    <w:abstractNumId w:val="7"/>
  </w:num>
  <w:num w:numId="39" w16cid:durableId="1047875380">
    <w:abstractNumId w:val="7"/>
  </w:num>
  <w:num w:numId="40" w16cid:durableId="1809283084">
    <w:abstractNumId w:val="7"/>
  </w:num>
  <w:num w:numId="41" w16cid:durableId="1727218912">
    <w:abstractNumId w:val="7"/>
  </w:num>
  <w:num w:numId="42" w16cid:durableId="171974637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C"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SV"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122"/>
    <w:rsid w:val="00000183"/>
    <w:rsid w:val="0000028C"/>
    <w:rsid w:val="0000089D"/>
    <w:rsid w:val="0000258E"/>
    <w:rsid w:val="00002E72"/>
    <w:rsid w:val="00004843"/>
    <w:rsid w:val="00005132"/>
    <w:rsid w:val="00005D3E"/>
    <w:rsid w:val="00006A30"/>
    <w:rsid w:val="000075CD"/>
    <w:rsid w:val="000077FD"/>
    <w:rsid w:val="00011A22"/>
    <w:rsid w:val="00011CFB"/>
    <w:rsid w:val="000150A0"/>
    <w:rsid w:val="000151B7"/>
    <w:rsid w:val="00015CA3"/>
    <w:rsid w:val="00016644"/>
    <w:rsid w:val="000167B5"/>
    <w:rsid w:val="00016FB6"/>
    <w:rsid w:val="00017A20"/>
    <w:rsid w:val="00020758"/>
    <w:rsid w:val="00020A8F"/>
    <w:rsid w:val="00020ED1"/>
    <w:rsid w:val="000213BF"/>
    <w:rsid w:val="00022121"/>
    <w:rsid w:val="000222E2"/>
    <w:rsid w:val="00023272"/>
    <w:rsid w:val="000232DF"/>
    <w:rsid w:val="00027C21"/>
    <w:rsid w:val="00030128"/>
    <w:rsid w:val="00032009"/>
    <w:rsid w:val="000327BD"/>
    <w:rsid w:val="000331DC"/>
    <w:rsid w:val="00034A63"/>
    <w:rsid w:val="00036624"/>
    <w:rsid w:val="00041309"/>
    <w:rsid w:val="000414A6"/>
    <w:rsid w:val="00041E96"/>
    <w:rsid w:val="000420D7"/>
    <w:rsid w:val="00042435"/>
    <w:rsid w:val="00042740"/>
    <w:rsid w:val="00042C89"/>
    <w:rsid w:val="00043CD3"/>
    <w:rsid w:val="0004513F"/>
    <w:rsid w:val="000451CD"/>
    <w:rsid w:val="00045681"/>
    <w:rsid w:val="00046578"/>
    <w:rsid w:val="0004744B"/>
    <w:rsid w:val="00047610"/>
    <w:rsid w:val="000530CD"/>
    <w:rsid w:val="000537FE"/>
    <w:rsid w:val="0005381B"/>
    <w:rsid w:val="000539BC"/>
    <w:rsid w:val="00054069"/>
    <w:rsid w:val="00054FE8"/>
    <w:rsid w:val="00057CC4"/>
    <w:rsid w:val="00057F16"/>
    <w:rsid w:val="0006035D"/>
    <w:rsid w:val="00061197"/>
    <w:rsid w:val="000623DA"/>
    <w:rsid w:val="0006308F"/>
    <w:rsid w:val="00063752"/>
    <w:rsid w:val="00064ACE"/>
    <w:rsid w:val="00065137"/>
    <w:rsid w:val="0006573F"/>
    <w:rsid w:val="000661DE"/>
    <w:rsid w:val="00066836"/>
    <w:rsid w:val="00066A35"/>
    <w:rsid w:val="00067719"/>
    <w:rsid w:val="00067BCE"/>
    <w:rsid w:val="00070043"/>
    <w:rsid w:val="000717D5"/>
    <w:rsid w:val="0007235D"/>
    <w:rsid w:val="0007538D"/>
    <w:rsid w:val="00075B2F"/>
    <w:rsid w:val="00077621"/>
    <w:rsid w:val="0007766A"/>
    <w:rsid w:val="00077771"/>
    <w:rsid w:val="00080037"/>
    <w:rsid w:val="00080498"/>
    <w:rsid w:val="00081490"/>
    <w:rsid w:val="00081F1C"/>
    <w:rsid w:val="00082F7A"/>
    <w:rsid w:val="000845E4"/>
    <w:rsid w:val="00084950"/>
    <w:rsid w:val="00085785"/>
    <w:rsid w:val="00085FAD"/>
    <w:rsid w:val="000871D8"/>
    <w:rsid w:val="00087F08"/>
    <w:rsid w:val="00090EB2"/>
    <w:rsid w:val="000914B5"/>
    <w:rsid w:val="000919BD"/>
    <w:rsid w:val="00092E28"/>
    <w:rsid w:val="00092F12"/>
    <w:rsid w:val="00092FA9"/>
    <w:rsid w:val="00093AA6"/>
    <w:rsid w:val="000949A7"/>
    <w:rsid w:val="00094A76"/>
    <w:rsid w:val="00094BDB"/>
    <w:rsid w:val="00094D0F"/>
    <w:rsid w:val="0009507F"/>
    <w:rsid w:val="0009585C"/>
    <w:rsid w:val="00096BB5"/>
    <w:rsid w:val="0009777C"/>
    <w:rsid w:val="000A1B2D"/>
    <w:rsid w:val="000A3AA6"/>
    <w:rsid w:val="000A4892"/>
    <w:rsid w:val="000A4E5C"/>
    <w:rsid w:val="000A5580"/>
    <w:rsid w:val="000A5650"/>
    <w:rsid w:val="000A583F"/>
    <w:rsid w:val="000A7B32"/>
    <w:rsid w:val="000B357F"/>
    <w:rsid w:val="000B3C9E"/>
    <w:rsid w:val="000B3ED7"/>
    <w:rsid w:val="000B4D24"/>
    <w:rsid w:val="000B5E86"/>
    <w:rsid w:val="000B753F"/>
    <w:rsid w:val="000B7876"/>
    <w:rsid w:val="000B7D71"/>
    <w:rsid w:val="000C02C2"/>
    <w:rsid w:val="000C0CC6"/>
    <w:rsid w:val="000C102E"/>
    <w:rsid w:val="000C113D"/>
    <w:rsid w:val="000C1FFA"/>
    <w:rsid w:val="000C3C8D"/>
    <w:rsid w:val="000C4584"/>
    <w:rsid w:val="000C55E9"/>
    <w:rsid w:val="000C5C36"/>
    <w:rsid w:val="000C6577"/>
    <w:rsid w:val="000D1775"/>
    <w:rsid w:val="000D25CD"/>
    <w:rsid w:val="000D3234"/>
    <w:rsid w:val="000D3896"/>
    <w:rsid w:val="000D39D9"/>
    <w:rsid w:val="000D51F5"/>
    <w:rsid w:val="000D6576"/>
    <w:rsid w:val="000D7D57"/>
    <w:rsid w:val="000E0DAD"/>
    <w:rsid w:val="000E1F07"/>
    <w:rsid w:val="000E3297"/>
    <w:rsid w:val="000E3309"/>
    <w:rsid w:val="000E40D6"/>
    <w:rsid w:val="000E4457"/>
    <w:rsid w:val="000E4804"/>
    <w:rsid w:val="000E4CC6"/>
    <w:rsid w:val="000E6849"/>
    <w:rsid w:val="000E6EF6"/>
    <w:rsid w:val="000E73DB"/>
    <w:rsid w:val="000F0F49"/>
    <w:rsid w:val="000F129D"/>
    <w:rsid w:val="000F1AB5"/>
    <w:rsid w:val="000F1B92"/>
    <w:rsid w:val="000F3EBC"/>
    <w:rsid w:val="000F44A9"/>
    <w:rsid w:val="000F6C86"/>
    <w:rsid w:val="0010202C"/>
    <w:rsid w:val="00103CCD"/>
    <w:rsid w:val="001041AC"/>
    <w:rsid w:val="001047FE"/>
    <w:rsid w:val="001049F8"/>
    <w:rsid w:val="00104AA5"/>
    <w:rsid w:val="00104E13"/>
    <w:rsid w:val="001058DE"/>
    <w:rsid w:val="001065EB"/>
    <w:rsid w:val="00107CFC"/>
    <w:rsid w:val="0011022D"/>
    <w:rsid w:val="001127F6"/>
    <w:rsid w:val="0011550D"/>
    <w:rsid w:val="00115BC1"/>
    <w:rsid w:val="00116F50"/>
    <w:rsid w:val="001178F1"/>
    <w:rsid w:val="00120FC5"/>
    <w:rsid w:val="00121738"/>
    <w:rsid w:val="0012186D"/>
    <w:rsid w:val="001235B7"/>
    <w:rsid w:val="001237C2"/>
    <w:rsid w:val="00123882"/>
    <w:rsid w:val="0012453A"/>
    <w:rsid w:val="00124BD5"/>
    <w:rsid w:val="00124F13"/>
    <w:rsid w:val="00125546"/>
    <w:rsid w:val="00126293"/>
    <w:rsid w:val="00126C29"/>
    <w:rsid w:val="00127033"/>
    <w:rsid w:val="00127965"/>
    <w:rsid w:val="001304DA"/>
    <w:rsid w:val="00130DAF"/>
    <w:rsid w:val="00131A87"/>
    <w:rsid w:val="00132428"/>
    <w:rsid w:val="001326A6"/>
    <w:rsid w:val="00132921"/>
    <w:rsid w:val="00134136"/>
    <w:rsid w:val="00137ACB"/>
    <w:rsid w:val="00137B15"/>
    <w:rsid w:val="00137C7A"/>
    <w:rsid w:val="00137D48"/>
    <w:rsid w:val="001426FC"/>
    <w:rsid w:val="001431C1"/>
    <w:rsid w:val="00143307"/>
    <w:rsid w:val="00144854"/>
    <w:rsid w:val="001449BA"/>
    <w:rsid w:val="00147D03"/>
    <w:rsid w:val="00147E39"/>
    <w:rsid w:val="00147F14"/>
    <w:rsid w:val="001501AE"/>
    <w:rsid w:val="00150527"/>
    <w:rsid w:val="00151291"/>
    <w:rsid w:val="0015169A"/>
    <w:rsid w:val="00152C79"/>
    <w:rsid w:val="0015324D"/>
    <w:rsid w:val="0015543E"/>
    <w:rsid w:val="00155445"/>
    <w:rsid w:val="00155C63"/>
    <w:rsid w:val="00155F08"/>
    <w:rsid w:val="00156098"/>
    <w:rsid w:val="00156E2C"/>
    <w:rsid w:val="00156E96"/>
    <w:rsid w:val="001575E5"/>
    <w:rsid w:val="001576A8"/>
    <w:rsid w:val="00160073"/>
    <w:rsid w:val="00160F95"/>
    <w:rsid w:val="00161668"/>
    <w:rsid w:val="00161D4F"/>
    <w:rsid w:val="001621DB"/>
    <w:rsid w:val="0016320F"/>
    <w:rsid w:val="00163A04"/>
    <w:rsid w:val="00164B2B"/>
    <w:rsid w:val="0016554A"/>
    <w:rsid w:val="00165972"/>
    <w:rsid w:val="0016711B"/>
    <w:rsid w:val="001674FE"/>
    <w:rsid w:val="00170D30"/>
    <w:rsid w:val="0017116F"/>
    <w:rsid w:val="00172224"/>
    <w:rsid w:val="001725AE"/>
    <w:rsid w:val="001731D7"/>
    <w:rsid w:val="00173774"/>
    <w:rsid w:val="001738EB"/>
    <w:rsid w:val="00174340"/>
    <w:rsid w:val="00175CE2"/>
    <w:rsid w:val="00175E62"/>
    <w:rsid w:val="001774F6"/>
    <w:rsid w:val="00177C67"/>
    <w:rsid w:val="001813F0"/>
    <w:rsid w:val="0018175E"/>
    <w:rsid w:val="00182C93"/>
    <w:rsid w:val="00182E4F"/>
    <w:rsid w:val="00183F27"/>
    <w:rsid w:val="00185C1C"/>
    <w:rsid w:val="00186C6C"/>
    <w:rsid w:val="00191BA9"/>
    <w:rsid w:val="001924E3"/>
    <w:rsid w:val="00192653"/>
    <w:rsid w:val="00192957"/>
    <w:rsid w:val="0019349C"/>
    <w:rsid w:val="001947F4"/>
    <w:rsid w:val="00195116"/>
    <w:rsid w:val="00195755"/>
    <w:rsid w:val="00196AA8"/>
    <w:rsid w:val="001970B6"/>
    <w:rsid w:val="001973B9"/>
    <w:rsid w:val="00197434"/>
    <w:rsid w:val="001A0E14"/>
    <w:rsid w:val="001A110B"/>
    <w:rsid w:val="001A1930"/>
    <w:rsid w:val="001A1DD5"/>
    <w:rsid w:val="001A3B6A"/>
    <w:rsid w:val="001A4AC4"/>
    <w:rsid w:val="001B034D"/>
    <w:rsid w:val="001B0447"/>
    <w:rsid w:val="001B1336"/>
    <w:rsid w:val="001B1FCB"/>
    <w:rsid w:val="001B2C1E"/>
    <w:rsid w:val="001B2DB4"/>
    <w:rsid w:val="001B40E1"/>
    <w:rsid w:val="001B454E"/>
    <w:rsid w:val="001B56C5"/>
    <w:rsid w:val="001C1BFA"/>
    <w:rsid w:val="001C57D7"/>
    <w:rsid w:val="001C66A8"/>
    <w:rsid w:val="001C7BCA"/>
    <w:rsid w:val="001D04E8"/>
    <w:rsid w:val="001D3D03"/>
    <w:rsid w:val="001D4867"/>
    <w:rsid w:val="001D4984"/>
    <w:rsid w:val="001D62C8"/>
    <w:rsid w:val="001D67AD"/>
    <w:rsid w:val="001D6FFE"/>
    <w:rsid w:val="001D7687"/>
    <w:rsid w:val="001D7C2D"/>
    <w:rsid w:val="001E0203"/>
    <w:rsid w:val="001E04D1"/>
    <w:rsid w:val="001E0AC4"/>
    <w:rsid w:val="001E0F20"/>
    <w:rsid w:val="001E1B5D"/>
    <w:rsid w:val="001E2298"/>
    <w:rsid w:val="001E2ABF"/>
    <w:rsid w:val="001E47FB"/>
    <w:rsid w:val="001E6D13"/>
    <w:rsid w:val="001E6D86"/>
    <w:rsid w:val="001E6DC3"/>
    <w:rsid w:val="001E7CB1"/>
    <w:rsid w:val="001E7DBA"/>
    <w:rsid w:val="001F079C"/>
    <w:rsid w:val="001F1DEB"/>
    <w:rsid w:val="001F205F"/>
    <w:rsid w:val="001F24C6"/>
    <w:rsid w:val="001F2660"/>
    <w:rsid w:val="001F394E"/>
    <w:rsid w:val="001F4251"/>
    <w:rsid w:val="001F4419"/>
    <w:rsid w:val="001F511A"/>
    <w:rsid w:val="001F5E0E"/>
    <w:rsid w:val="001F6D65"/>
    <w:rsid w:val="001F7723"/>
    <w:rsid w:val="00200A62"/>
    <w:rsid w:val="002012C5"/>
    <w:rsid w:val="0020222F"/>
    <w:rsid w:val="00202842"/>
    <w:rsid w:val="00202CEA"/>
    <w:rsid w:val="00203A72"/>
    <w:rsid w:val="00205173"/>
    <w:rsid w:val="00205B41"/>
    <w:rsid w:val="00205CB7"/>
    <w:rsid w:val="002074CB"/>
    <w:rsid w:val="0020783E"/>
    <w:rsid w:val="002079C1"/>
    <w:rsid w:val="00210010"/>
    <w:rsid w:val="00210442"/>
    <w:rsid w:val="00210650"/>
    <w:rsid w:val="00210FDF"/>
    <w:rsid w:val="0021154C"/>
    <w:rsid w:val="00211E71"/>
    <w:rsid w:val="00212AB2"/>
    <w:rsid w:val="002138AF"/>
    <w:rsid w:val="00214212"/>
    <w:rsid w:val="00215076"/>
    <w:rsid w:val="00215625"/>
    <w:rsid w:val="00215A74"/>
    <w:rsid w:val="0022008B"/>
    <w:rsid w:val="00220E09"/>
    <w:rsid w:val="00220FBE"/>
    <w:rsid w:val="00222C83"/>
    <w:rsid w:val="00223396"/>
    <w:rsid w:val="0022379C"/>
    <w:rsid w:val="002239B0"/>
    <w:rsid w:val="00223C0D"/>
    <w:rsid w:val="00223CC5"/>
    <w:rsid w:val="00225190"/>
    <w:rsid w:val="00226095"/>
    <w:rsid w:val="002265F3"/>
    <w:rsid w:val="0022778E"/>
    <w:rsid w:val="0023064A"/>
    <w:rsid w:val="0023066E"/>
    <w:rsid w:val="00230852"/>
    <w:rsid w:val="00230ED3"/>
    <w:rsid w:val="002310A8"/>
    <w:rsid w:val="00231D50"/>
    <w:rsid w:val="00232324"/>
    <w:rsid w:val="00232D44"/>
    <w:rsid w:val="00233822"/>
    <w:rsid w:val="00234115"/>
    <w:rsid w:val="0023764D"/>
    <w:rsid w:val="00237E51"/>
    <w:rsid w:val="002405E9"/>
    <w:rsid w:val="0024068C"/>
    <w:rsid w:val="00240996"/>
    <w:rsid w:val="00240B4F"/>
    <w:rsid w:val="00240C3D"/>
    <w:rsid w:val="00241AD4"/>
    <w:rsid w:val="00241FA6"/>
    <w:rsid w:val="0024233F"/>
    <w:rsid w:val="00242871"/>
    <w:rsid w:val="0024387A"/>
    <w:rsid w:val="002440DA"/>
    <w:rsid w:val="00244E0F"/>
    <w:rsid w:val="0024557B"/>
    <w:rsid w:val="00245F36"/>
    <w:rsid w:val="00246AD9"/>
    <w:rsid w:val="002476A0"/>
    <w:rsid w:val="00247F83"/>
    <w:rsid w:val="002513CA"/>
    <w:rsid w:val="00251F6F"/>
    <w:rsid w:val="0025231C"/>
    <w:rsid w:val="00253FDC"/>
    <w:rsid w:val="002549D6"/>
    <w:rsid w:val="002554B6"/>
    <w:rsid w:val="00255570"/>
    <w:rsid w:val="002556E4"/>
    <w:rsid w:val="0025626F"/>
    <w:rsid w:val="002562BC"/>
    <w:rsid w:val="00256568"/>
    <w:rsid w:val="00256D7E"/>
    <w:rsid w:val="00257411"/>
    <w:rsid w:val="00257BAC"/>
    <w:rsid w:val="002624EB"/>
    <w:rsid w:val="00262C93"/>
    <w:rsid w:val="00262FAB"/>
    <w:rsid w:val="0026354D"/>
    <w:rsid w:val="00266FE1"/>
    <w:rsid w:val="002703B5"/>
    <w:rsid w:val="0027064C"/>
    <w:rsid w:val="002711F9"/>
    <w:rsid w:val="00271265"/>
    <w:rsid w:val="002717E8"/>
    <w:rsid w:val="00271CBE"/>
    <w:rsid w:val="0027283D"/>
    <w:rsid w:val="00273128"/>
    <w:rsid w:val="00273249"/>
    <w:rsid w:val="002735CC"/>
    <w:rsid w:val="002739AA"/>
    <w:rsid w:val="00274D47"/>
    <w:rsid w:val="00277820"/>
    <w:rsid w:val="00277A69"/>
    <w:rsid w:val="00280938"/>
    <w:rsid w:val="00280BC5"/>
    <w:rsid w:val="00280E23"/>
    <w:rsid w:val="00280F6C"/>
    <w:rsid w:val="00281DC6"/>
    <w:rsid w:val="00282826"/>
    <w:rsid w:val="00282904"/>
    <w:rsid w:val="002838A1"/>
    <w:rsid w:val="00283968"/>
    <w:rsid w:val="00284E4E"/>
    <w:rsid w:val="00286988"/>
    <w:rsid w:val="00286C8B"/>
    <w:rsid w:val="00287773"/>
    <w:rsid w:val="00287A50"/>
    <w:rsid w:val="002906FF"/>
    <w:rsid w:val="0029090D"/>
    <w:rsid w:val="0029190C"/>
    <w:rsid w:val="00291B17"/>
    <w:rsid w:val="00292254"/>
    <w:rsid w:val="00292DD7"/>
    <w:rsid w:val="00292FB7"/>
    <w:rsid w:val="0029314E"/>
    <w:rsid w:val="00293DB9"/>
    <w:rsid w:val="002947D9"/>
    <w:rsid w:val="0029510D"/>
    <w:rsid w:val="0029625C"/>
    <w:rsid w:val="002964ED"/>
    <w:rsid w:val="002976D4"/>
    <w:rsid w:val="0029799F"/>
    <w:rsid w:val="00297A26"/>
    <w:rsid w:val="002A02CF"/>
    <w:rsid w:val="002A041E"/>
    <w:rsid w:val="002A2322"/>
    <w:rsid w:val="002A271D"/>
    <w:rsid w:val="002A2893"/>
    <w:rsid w:val="002A4B81"/>
    <w:rsid w:val="002A5D6C"/>
    <w:rsid w:val="002A7420"/>
    <w:rsid w:val="002A7A2B"/>
    <w:rsid w:val="002B07FB"/>
    <w:rsid w:val="002B1851"/>
    <w:rsid w:val="002B24B6"/>
    <w:rsid w:val="002B27B7"/>
    <w:rsid w:val="002B2FF7"/>
    <w:rsid w:val="002B4432"/>
    <w:rsid w:val="002B525D"/>
    <w:rsid w:val="002B56A3"/>
    <w:rsid w:val="002B60BC"/>
    <w:rsid w:val="002B641D"/>
    <w:rsid w:val="002B67BB"/>
    <w:rsid w:val="002B686F"/>
    <w:rsid w:val="002C0BE0"/>
    <w:rsid w:val="002C129C"/>
    <w:rsid w:val="002C1647"/>
    <w:rsid w:val="002C2886"/>
    <w:rsid w:val="002C335D"/>
    <w:rsid w:val="002C389F"/>
    <w:rsid w:val="002C49D8"/>
    <w:rsid w:val="002C532C"/>
    <w:rsid w:val="002C55AD"/>
    <w:rsid w:val="002C5988"/>
    <w:rsid w:val="002C64C0"/>
    <w:rsid w:val="002C68C2"/>
    <w:rsid w:val="002C7182"/>
    <w:rsid w:val="002D0689"/>
    <w:rsid w:val="002D0C28"/>
    <w:rsid w:val="002D242F"/>
    <w:rsid w:val="002D318C"/>
    <w:rsid w:val="002D31FA"/>
    <w:rsid w:val="002D40C3"/>
    <w:rsid w:val="002D5608"/>
    <w:rsid w:val="002D5A48"/>
    <w:rsid w:val="002D67ED"/>
    <w:rsid w:val="002D6A8B"/>
    <w:rsid w:val="002E005F"/>
    <w:rsid w:val="002E0FC7"/>
    <w:rsid w:val="002E253B"/>
    <w:rsid w:val="002E308D"/>
    <w:rsid w:val="002E3485"/>
    <w:rsid w:val="002E4017"/>
    <w:rsid w:val="002E5275"/>
    <w:rsid w:val="002E55A0"/>
    <w:rsid w:val="002E6DC1"/>
    <w:rsid w:val="002F0DC6"/>
    <w:rsid w:val="002F1586"/>
    <w:rsid w:val="002F2D52"/>
    <w:rsid w:val="002F34D8"/>
    <w:rsid w:val="002F3A81"/>
    <w:rsid w:val="002F686A"/>
    <w:rsid w:val="00301E6E"/>
    <w:rsid w:val="003020B6"/>
    <w:rsid w:val="003020F0"/>
    <w:rsid w:val="003026F3"/>
    <w:rsid w:val="003037DA"/>
    <w:rsid w:val="003059C1"/>
    <w:rsid w:val="00305BC2"/>
    <w:rsid w:val="0030675E"/>
    <w:rsid w:val="00306780"/>
    <w:rsid w:val="00307F71"/>
    <w:rsid w:val="003117BF"/>
    <w:rsid w:val="003123A6"/>
    <w:rsid w:val="00312A9A"/>
    <w:rsid w:val="00313722"/>
    <w:rsid w:val="003140D1"/>
    <w:rsid w:val="00314848"/>
    <w:rsid w:val="00315299"/>
    <w:rsid w:val="003158A2"/>
    <w:rsid w:val="00315A44"/>
    <w:rsid w:val="00315BD0"/>
    <w:rsid w:val="0031693C"/>
    <w:rsid w:val="003176AB"/>
    <w:rsid w:val="003207E0"/>
    <w:rsid w:val="003218C4"/>
    <w:rsid w:val="003226EA"/>
    <w:rsid w:val="00323091"/>
    <w:rsid w:val="003232B2"/>
    <w:rsid w:val="00323562"/>
    <w:rsid w:val="003238E6"/>
    <w:rsid w:val="00323F1D"/>
    <w:rsid w:val="003244C5"/>
    <w:rsid w:val="003247EC"/>
    <w:rsid w:val="0032503C"/>
    <w:rsid w:val="00326A19"/>
    <w:rsid w:val="00327C39"/>
    <w:rsid w:val="00327EC3"/>
    <w:rsid w:val="003316E1"/>
    <w:rsid w:val="003318AA"/>
    <w:rsid w:val="003329E9"/>
    <w:rsid w:val="00333479"/>
    <w:rsid w:val="0033374A"/>
    <w:rsid w:val="00334413"/>
    <w:rsid w:val="00334651"/>
    <w:rsid w:val="00334BF3"/>
    <w:rsid w:val="003357B1"/>
    <w:rsid w:val="00335AF2"/>
    <w:rsid w:val="00335E42"/>
    <w:rsid w:val="00336493"/>
    <w:rsid w:val="00336571"/>
    <w:rsid w:val="00336A2A"/>
    <w:rsid w:val="00336D7B"/>
    <w:rsid w:val="003375A4"/>
    <w:rsid w:val="00337682"/>
    <w:rsid w:val="003377F7"/>
    <w:rsid w:val="00337ABA"/>
    <w:rsid w:val="00337BCC"/>
    <w:rsid w:val="00340C94"/>
    <w:rsid w:val="00340FCB"/>
    <w:rsid w:val="0034192A"/>
    <w:rsid w:val="0034208F"/>
    <w:rsid w:val="00343444"/>
    <w:rsid w:val="00343A82"/>
    <w:rsid w:val="00344129"/>
    <w:rsid w:val="003452F7"/>
    <w:rsid w:val="00351189"/>
    <w:rsid w:val="00351A88"/>
    <w:rsid w:val="003527B4"/>
    <w:rsid w:val="003527DE"/>
    <w:rsid w:val="00353532"/>
    <w:rsid w:val="00353C6D"/>
    <w:rsid w:val="00354BC3"/>
    <w:rsid w:val="003555FA"/>
    <w:rsid w:val="003565BB"/>
    <w:rsid w:val="003578BF"/>
    <w:rsid w:val="0036020E"/>
    <w:rsid w:val="0036078F"/>
    <w:rsid w:val="003613F1"/>
    <w:rsid w:val="0036145C"/>
    <w:rsid w:val="0036195C"/>
    <w:rsid w:val="00361C0B"/>
    <w:rsid w:val="00361F23"/>
    <w:rsid w:val="0036476F"/>
    <w:rsid w:val="00365344"/>
    <w:rsid w:val="003655EA"/>
    <w:rsid w:val="003671A7"/>
    <w:rsid w:val="00367533"/>
    <w:rsid w:val="00370122"/>
    <w:rsid w:val="003711F1"/>
    <w:rsid w:val="00371A8D"/>
    <w:rsid w:val="00373A7D"/>
    <w:rsid w:val="0037453F"/>
    <w:rsid w:val="003761DD"/>
    <w:rsid w:val="00377068"/>
    <w:rsid w:val="00377420"/>
    <w:rsid w:val="00377E68"/>
    <w:rsid w:val="00380F90"/>
    <w:rsid w:val="0038144C"/>
    <w:rsid w:val="00382009"/>
    <w:rsid w:val="00382F38"/>
    <w:rsid w:val="003832E2"/>
    <w:rsid w:val="00383945"/>
    <w:rsid w:val="00384305"/>
    <w:rsid w:val="00385FCE"/>
    <w:rsid w:val="0038600C"/>
    <w:rsid w:val="00386AB7"/>
    <w:rsid w:val="00390189"/>
    <w:rsid w:val="003910CA"/>
    <w:rsid w:val="00392FB3"/>
    <w:rsid w:val="003944AA"/>
    <w:rsid w:val="00394D41"/>
    <w:rsid w:val="0039514F"/>
    <w:rsid w:val="00397AB0"/>
    <w:rsid w:val="00397DDF"/>
    <w:rsid w:val="003A031A"/>
    <w:rsid w:val="003A071D"/>
    <w:rsid w:val="003A0744"/>
    <w:rsid w:val="003A0950"/>
    <w:rsid w:val="003A1870"/>
    <w:rsid w:val="003A2A3B"/>
    <w:rsid w:val="003A2E6F"/>
    <w:rsid w:val="003A4A82"/>
    <w:rsid w:val="003A5CF0"/>
    <w:rsid w:val="003A5DDB"/>
    <w:rsid w:val="003A6FF1"/>
    <w:rsid w:val="003A746A"/>
    <w:rsid w:val="003A78F7"/>
    <w:rsid w:val="003A79C1"/>
    <w:rsid w:val="003B2708"/>
    <w:rsid w:val="003B30C6"/>
    <w:rsid w:val="003B3DFE"/>
    <w:rsid w:val="003B5033"/>
    <w:rsid w:val="003B505C"/>
    <w:rsid w:val="003B54AA"/>
    <w:rsid w:val="003B57B8"/>
    <w:rsid w:val="003B5E94"/>
    <w:rsid w:val="003B657A"/>
    <w:rsid w:val="003B760E"/>
    <w:rsid w:val="003B777F"/>
    <w:rsid w:val="003B7A48"/>
    <w:rsid w:val="003C03AB"/>
    <w:rsid w:val="003C10FC"/>
    <w:rsid w:val="003C1EDA"/>
    <w:rsid w:val="003C2376"/>
    <w:rsid w:val="003C2F1D"/>
    <w:rsid w:val="003C3014"/>
    <w:rsid w:val="003C38CC"/>
    <w:rsid w:val="003C3989"/>
    <w:rsid w:val="003C40AB"/>
    <w:rsid w:val="003C5BA0"/>
    <w:rsid w:val="003C5DE0"/>
    <w:rsid w:val="003C64F6"/>
    <w:rsid w:val="003C6E90"/>
    <w:rsid w:val="003C7C4B"/>
    <w:rsid w:val="003D10CF"/>
    <w:rsid w:val="003D12F3"/>
    <w:rsid w:val="003D13FF"/>
    <w:rsid w:val="003D2352"/>
    <w:rsid w:val="003D2C4D"/>
    <w:rsid w:val="003D37C0"/>
    <w:rsid w:val="003D45BC"/>
    <w:rsid w:val="003D47A5"/>
    <w:rsid w:val="003D4A21"/>
    <w:rsid w:val="003D57A9"/>
    <w:rsid w:val="003D5888"/>
    <w:rsid w:val="003D5B87"/>
    <w:rsid w:val="003D6807"/>
    <w:rsid w:val="003D7E9E"/>
    <w:rsid w:val="003E0239"/>
    <w:rsid w:val="003E0EAB"/>
    <w:rsid w:val="003E1590"/>
    <w:rsid w:val="003E1DCD"/>
    <w:rsid w:val="003E5F10"/>
    <w:rsid w:val="003E628F"/>
    <w:rsid w:val="003E649F"/>
    <w:rsid w:val="003E67E8"/>
    <w:rsid w:val="003F13A8"/>
    <w:rsid w:val="003F1BC4"/>
    <w:rsid w:val="003F3176"/>
    <w:rsid w:val="003F3309"/>
    <w:rsid w:val="003F420F"/>
    <w:rsid w:val="003F536F"/>
    <w:rsid w:val="003F5A20"/>
    <w:rsid w:val="003F5C9F"/>
    <w:rsid w:val="003F6FA9"/>
    <w:rsid w:val="003F75D4"/>
    <w:rsid w:val="004005A5"/>
    <w:rsid w:val="00401416"/>
    <w:rsid w:val="0040149A"/>
    <w:rsid w:val="00401915"/>
    <w:rsid w:val="00401EFF"/>
    <w:rsid w:val="0040429C"/>
    <w:rsid w:val="00404324"/>
    <w:rsid w:val="00404CC3"/>
    <w:rsid w:val="00404CC8"/>
    <w:rsid w:val="004054DB"/>
    <w:rsid w:val="00405867"/>
    <w:rsid w:val="00406559"/>
    <w:rsid w:val="00406F8D"/>
    <w:rsid w:val="00410F7B"/>
    <w:rsid w:val="004123E2"/>
    <w:rsid w:val="00412792"/>
    <w:rsid w:val="00412FA3"/>
    <w:rsid w:val="0041302C"/>
    <w:rsid w:val="0041388C"/>
    <w:rsid w:val="0041390F"/>
    <w:rsid w:val="0041502A"/>
    <w:rsid w:val="0041516A"/>
    <w:rsid w:val="004151E6"/>
    <w:rsid w:val="00415216"/>
    <w:rsid w:val="00415568"/>
    <w:rsid w:val="0041642A"/>
    <w:rsid w:val="00416990"/>
    <w:rsid w:val="004170D8"/>
    <w:rsid w:val="00417A53"/>
    <w:rsid w:val="00420155"/>
    <w:rsid w:val="00420FCD"/>
    <w:rsid w:val="00421CFB"/>
    <w:rsid w:val="00423070"/>
    <w:rsid w:val="00423489"/>
    <w:rsid w:val="0042361E"/>
    <w:rsid w:val="00424399"/>
    <w:rsid w:val="00424B0B"/>
    <w:rsid w:val="004266B7"/>
    <w:rsid w:val="004278FA"/>
    <w:rsid w:val="004314A3"/>
    <w:rsid w:val="00431D81"/>
    <w:rsid w:val="00432A7C"/>
    <w:rsid w:val="004343C7"/>
    <w:rsid w:val="004353EC"/>
    <w:rsid w:val="00435963"/>
    <w:rsid w:val="00436D69"/>
    <w:rsid w:val="00437036"/>
    <w:rsid w:val="00441410"/>
    <w:rsid w:val="00441848"/>
    <w:rsid w:val="0044261C"/>
    <w:rsid w:val="00442942"/>
    <w:rsid w:val="00443701"/>
    <w:rsid w:val="00443A18"/>
    <w:rsid w:val="00443EEB"/>
    <w:rsid w:val="00443F96"/>
    <w:rsid w:val="00444390"/>
    <w:rsid w:val="0044511E"/>
    <w:rsid w:val="004469DC"/>
    <w:rsid w:val="00450648"/>
    <w:rsid w:val="00450AF8"/>
    <w:rsid w:val="004538E6"/>
    <w:rsid w:val="00453C7A"/>
    <w:rsid w:val="00454996"/>
    <w:rsid w:val="00456380"/>
    <w:rsid w:val="004564E2"/>
    <w:rsid w:val="00456A2F"/>
    <w:rsid w:val="00457ABB"/>
    <w:rsid w:val="004600DA"/>
    <w:rsid w:val="00460EA2"/>
    <w:rsid w:val="0046149D"/>
    <w:rsid w:val="00461F56"/>
    <w:rsid w:val="00463C66"/>
    <w:rsid w:val="00464168"/>
    <w:rsid w:val="004655C4"/>
    <w:rsid w:val="0046592F"/>
    <w:rsid w:val="00465FEE"/>
    <w:rsid w:val="004664BB"/>
    <w:rsid w:val="004674FE"/>
    <w:rsid w:val="004714B5"/>
    <w:rsid w:val="00471C96"/>
    <w:rsid w:val="004734C5"/>
    <w:rsid w:val="00473C68"/>
    <w:rsid w:val="00473F90"/>
    <w:rsid w:val="004754EB"/>
    <w:rsid w:val="00476534"/>
    <w:rsid w:val="004768FC"/>
    <w:rsid w:val="00476E97"/>
    <w:rsid w:val="0047704C"/>
    <w:rsid w:val="0047734A"/>
    <w:rsid w:val="0047780B"/>
    <w:rsid w:val="00477EC7"/>
    <w:rsid w:val="004807E3"/>
    <w:rsid w:val="00481DB3"/>
    <w:rsid w:val="004826E6"/>
    <w:rsid w:val="004835BD"/>
    <w:rsid w:val="00484292"/>
    <w:rsid w:val="00484482"/>
    <w:rsid w:val="00484D12"/>
    <w:rsid w:val="00485746"/>
    <w:rsid w:val="00485C61"/>
    <w:rsid w:val="00485DC9"/>
    <w:rsid w:val="00486AA2"/>
    <w:rsid w:val="004918CC"/>
    <w:rsid w:val="00491928"/>
    <w:rsid w:val="00491A9A"/>
    <w:rsid w:val="00492299"/>
    <w:rsid w:val="00492EEF"/>
    <w:rsid w:val="00492F48"/>
    <w:rsid w:val="00493F57"/>
    <w:rsid w:val="00493FE8"/>
    <w:rsid w:val="0049424C"/>
    <w:rsid w:val="004957D1"/>
    <w:rsid w:val="00496387"/>
    <w:rsid w:val="004A00C5"/>
    <w:rsid w:val="004A1143"/>
    <w:rsid w:val="004A1554"/>
    <w:rsid w:val="004A1EBB"/>
    <w:rsid w:val="004A2059"/>
    <w:rsid w:val="004A2A8A"/>
    <w:rsid w:val="004A2D9F"/>
    <w:rsid w:val="004A3607"/>
    <w:rsid w:val="004A3CC7"/>
    <w:rsid w:val="004A3D60"/>
    <w:rsid w:val="004A4929"/>
    <w:rsid w:val="004A4C8D"/>
    <w:rsid w:val="004A4E97"/>
    <w:rsid w:val="004A5213"/>
    <w:rsid w:val="004A566C"/>
    <w:rsid w:val="004A59B4"/>
    <w:rsid w:val="004A6780"/>
    <w:rsid w:val="004B04AC"/>
    <w:rsid w:val="004B1224"/>
    <w:rsid w:val="004B24E8"/>
    <w:rsid w:val="004B28BC"/>
    <w:rsid w:val="004B3491"/>
    <w:rsid w:val="004B4A76"/>
    <w:rsid w:val="004B4FFB"/>
    <w:rsid w:val="004B5EA3"/>
    <w:rsid w:val="004B5F7A"/>
    <w:rsid w:val="004B63C1"/>
    <w:rsid w:val="004B69F8"/>
    <w:rsid w:val="004B72C7"/>
    <w:rsid w:val="004B752D"/>
    <w:rsid w:val="004B79C3"/>
    <w:rsid w:val="004C0FC9"/>
    <w:rsid w:val="004C148D"/>
    <w:rsid w:val="004C1520"/>
    <w:rsid w:val="004C16FF"/>
    <w:rsid w:val="004C30B7"/>
    <w:rsid w:val="004C44F9"/>
    <w:rsid w:val="004C5D3B"/>
    <w:rsid w:val="004C6F14"/>
    <w:rsid w:val="004C7A14"/>
    <w:rsid w:val="004D010A"/>
    <w:rsid w:val="004D01D2"/>
    <w:rsid w:val="004D0C98"/>
    <w:rsid w:val="004D1789"/>
    <w:rsid w:val="004D278B"/>
    <w:rsid w:val="004D368F"/>
    <w:rsid w:val="004D54D6"/>
    <w:rsid w:val="004D66C7"/>
    <w:rsid w:val="004D6F2F"/>
    <w:rsid w:val="004D7B74"/>
    <w:rsid w:val="004E0638"/>
    <w:rsid w:val="004E101B"/>
    <w:rsid w:val="004E1E03"/>
    <w:rsid w:val="004E1FD4"/>
    <w:rsid w:val="004E206D"/>
    <w:rsid w:val="004E3843"/>
    <w:rsid w:val="004E4173"/>
    <w:rsid w:val="004E4C5E"/>
    <w:rsid w:val="004E4E37"/>
    <w:rsid w:val="004E4E78"/>
    <w:rsid w:val="004E4F46"/>
    <w:rsid w:val="004E5032"/>
    <w:rsid w:val="004E5C69"/>
    <w:rsid w:val="004E5E39"/>
    <w:rsid w:val="004E66E1"/>
    <w:rsid w:val="004E6A08"/>
    <w:rsid w:val="004F088B"/>
    <w:rsid w:val="004F08B5"/>
    <w:rsid w:val="004F1E92"/>
    <w:rsid w:val="004F2E05"/>
    <w:rsid w:val="004F3087"/>
    <w:rsid w:val="004F343E"/>
    <w:rsid w:val="004F5B10"/>
    <w:rsid w:val="004F7658"/>
    <w:rsid w:val="00501FAD"/>
    <w:rsid w:val="0050326B"/>
    <w:rsid w:val="00505C18"/>
    <w:rsid w:val="00510324"/>
    <w:rsid w:val="00510F0B"/>
    <w:rsid w:val="0051108B"/>
    <w:rsid w:val="00511304"/>
    <w:rsid w:val="00511BC1"/>
    <w:rsid w:val="005121F8"/>
    <w:rsid w:val="005122E5"/>
    <w:rsid w:val="0051248D"/>
    <w:rsid w:val="00512F79"/>
    <w:rsid w:val="00513A27"/>
    <w:rsid w:val="00513D5C"/>
    <w:rsid w:val="005158FF"/>
    <w:rsid w:val="00515A92"/>
    <w:rsid w:val="005172C6"/>
    <w:rsid w:val="00517DDE"/>
    <w:rsid w:val="005200C5"/>
    <w:rsid w:val="00520A21"/>
    <w:rsid w:val="00521332"/>
    <w:rsid w:val="005225E1"/>
    <w:rsid w:val="005234CC"/>
    <w:rsid w:val="0052364C"/>
    <w:rsid w:val="005239C4"/>
    <w:rsid w:val="0052486E"/>
    <w:rsid w:val="005268C0"/>
    <w:rsid w:val="00527186"/>
    <w:rsid w:val="00527D46"/>
    <w:rsid w:val="0053129B"/>
    <w:rsid w:val="005320DA"/>
    <w:rsid w:val="00532601"/>
    <w:rsid w:val="00532870"/>
    <w:rsid w:val="00532D34"/>
    <w:rsid w:val="00533E2C"/>
    <w:rsid w:val="0053688D"/>
    <w:rsid w:val="00536A5F"/>
    <w:rsid w:val="00536C0A"/>
    <w:rsid w:val="00536DFA"/>
    <w:rsid w:val="00536E30"/>
    <w:rsid w:val="00537584"/>
    <w:rsid w:val="00540F27"/>
    <w:rsid w:val="0054252B"/>
    <w:rsid w:val="005426FE"/>
    <w:rsid w:val="005432D4"/>
    <w:rsid w:val="0054392A"/>
    <w:rsid w:val="0054449A"/>
    <w:rsid w:val="005451D0"/>
    <w:rsid w:val="005455BC"/>
    <w:rsid w:val="00545959"/>
    <w:rsid w:val="00545C60"/>
    <w:rsid w:val="00546776"/>
    <w:rsid w:val="00546B31"/>
    <w:rsid w:val="00546D46"/>
    <w:rsid w:val="005472F0"/>
    <w:rsid w:val="00550801"/>
    <w:rsid w:val="00551321"/>
    <w:rsid w:val="00551998"/>
    <w:rsid w:val="00552183"/>
    <w:rsid w:val="00552C4E"/>
    <w:rsid w:val="005543DE"/>
    <w:rsid w:val="00554CF7"/>
    <w:rsid w:val="005556AF"/>
    <w:rsid w:val="00555982"/>
    <w:rsid w:val="005566E3"/>
    <w:rsid w:val="00556D82"/>
    <w:rsid w:val="00556F02"/>
    <w:rsid w:val="0055706B"/>
    <w:rsid w:val="005601B5"/>
    <w:rsid w:val="00560C29"/>
    <w:rsid w:val="00561EE1"/>
    <w:rsid w:val="005623FD"/>
    <w:rsid w:val="0056337A"/>
    <w:rsid w:val="00563621"/>
    <w:rsid w:val="005638CE"/>
    <w:rsid w:val="00564863"/>
    <w:rsid w:val="005649A8"/>
    <w:rsid w:val="00564F2A"/>
    <w:rsid w:val="005652AC"/>
    <w:rsid w:val="00565885"/>
    <w:rsid w:val="00566952"/>
    <w:rsid w:val="00567385"/>
    <w:rsid w:val="005679CC"/>
    <w:rsid w:val="0057221F"/>
    <w:rsid w:val="00573DE4"/>
    <w:rsid w:val="00574F00"/>
    <w:rsid w:val="005769B7"/>
    <w:rsid w:val="005776A0"/>
    <w:rsid w:val="00580C45"/>
    <w:rsid w:val="00581893"/>
    <w:rsid w:val="00581E97"/>
    <w:rsid w:val="0058230C"/>
    <w:rsid w:val="00583BB0"/>
    <w:rsid w:val="00586018"/>
    <w:rsid w:val="005860DF"/>
    <w:rsid w:val="00586ACF"/>
    <w:rsid w:val="00587078"/>
    <w:rsid w:val="0058764B"/>
    <w:rsid w:val="0059047E"/>
    <w:rsid w:val="00591124"/>
    <w:rsid w:val="00591F88"/>
    <w:rsid w:val="00592E10"/>
    <w:rsid w:val="00595513"/>
    <w:rsid w:val="00595CB0"/>
    <w:rsid w:val="005A04C9"/>
    <w:rsid w:val="005A18A2"/>
    <w:rsid w:val="005A237B"/>
    <w:rsid w:val="005A2D71"/>
    <w:rsid w:val="005A352D"/>
    <w:rsid w:val="005A3564"/>
    <w:rsid w:val="005A44DE"/>
    <w:rsid w:val="005A4996"/>
    <w:rsid w:val="005A78BA"/>
    <w:rsid w:val="005B0866"/>
    <w:rsid w:val="005B1CE9"/>
    <w:rsid w:val="005B22B5"/>
    <w:rsid w:val="005B2C8B"/>
    <w:rsid w:val="005B2CAD"/>
    <w:rsid w:val="005B4A20"/>
    <w:rsid w:val="005B58BD"/>
    <w:rsid w:val="005B609D"/>
    <w:rsid w:val="005B633A"/>
    <w:rsid w:val="005C0779"/>
    <w:rsid w:val="005C15E6"/>
    <w:rsid w:val="005C2BA5"/>
    <w:rsid w:val="005C2C43"/>
    <w:rsid w:val="005C2FC7"/>
    <w:rsid w:val="005C32EF"/>
    <w:rsid w:val="005C3C6F"/>
    <w:rsid w:val="005C3C79"/>
    <w:rsid w:val="005C4660"/>
    <w:rsid w:val="005C51EC"/>
    <w:rsid w:val="005C614E"/>
    <w:rsid w:val="005C6B24"/>
    <w:rsid w:val="005C6F13"/>
    <w:rsid w:val="005C7102"/>
    <w:rsid w:val="005C750F"/>
    <w:rsid w:val="005C75CD"/>
    <w:rsid w:val="005C7603"/>
    <w:rsid w:val="005D07F3"/>
    <w:rsid w:val="005D2EE1"/>
    <w:rsid w:val="005D415E"/>
    <w:rsid w:val="005D4A2D"/>
    <w:rsid w:val="005D7161"/>
    <w:rsid w:val="005D7890"/>
    <w:rsid w:val="005E0295"/>
    <w:rsid w:val="005E0F79"/>
    <w:rsid w:val="005E129E"/>
    <w:rsid w:val="005E15FA"/>
    <w:rsid w:val="005E43BC"/>
    <w:rsid w:val="005E47A1"/>
    <w:rsid w:val="005E5733"/>
    <w:rsid w:val="005E64A2"/>
    <w:rsid w:val="005E6B0B"/>
    <w:rsid w:val="005E7B1F"/>
    <w:rsid w:val="005E7E5B"/>
    <w:rsid w:val="005E7FE1"/>
    <w:rsid w:val="005F088E"/>
    <w:rsid w:val="005F137B"/>
    <w:rsid w:val="005F1769"/>
    <w:rsid w:val="005F241C"/>
    <w:rsid w:val="005F287D"/>
    <w:rsid w:val="005F3503"/>
    <w:rsid w:val="005F3C79"/>
    <w:rsid w:val="005F54DB"/>
    <w:rsid w:val="005F6A0F"/>
    <w:rsid w:val="005F6A3D"/>
    <w:rsid w:val="005F7111"/>
    <w:rsid w:val="005F7809"/>
    <w:rsid w:val="006016A6"/>
    <w:rsid w:val="006025B2"/>
    <w:rsid w:val="006033D7"/>
    <w:rsid w:val="006038F3"/>
    <w:rsid w:val="00605276"/>
    <w:rsid w:val="006053A4"/>
    <w:rsid w:val="00606D4C"/>
    <w:rsid w:val="00607367"/>
    <w:rsid w:val="00607D11"/>
    <w:rsid w:val="00607D21"/>
    <w:rsid w:val="00612A77"/>
    <w:rsid w:val="00612EA9"/>
    <w:rsid w:val="006147ED"/>
    <w:rsid w:val="00615FC0"/>
    <w:rsid w:val="00616C96"/>
    <w:rsid w:val="00621A53"/>
    <w:rsid w:val="00621E6D"/>
    <w:rsid w:val="00621E73"/>
    <w:rsid w:val="006232B0"/>
    <w:rsid w:val="0062369A"/>
    <w:rsid w:val="00624DBB"/>
    <w:rsid w:val="00624E7E"/>
    <w:rsid w:val="00624E93"/>
    <w:rsid w:val="006250D5"/>
    <w:rsid w:val="00625245"/>
    <w:rsid w:val="00625783"/>
    <w:rsid w:val="00625965"/>
    <w:rsid w:val="00625ABD"/>
    <w:rsid w:val="00626286"/>
    <w:rsid w:val="00626CF2"/>
    <w:rsid w:val="006300CC"/>
    <w:rsid w:val="0063034A"/>
    <w:rsid w:val="006304BB"/>
    <w:rsid w:val="00630A37"/>
    <w:rsid w:val="006319D8"/>
    <w:rsid w:val="00632849"/>
    <w:rsid w:val="00633DF0"/>
    <w:rsid w:val="0063535F"/>
    <w:rsid w:val="00635D0B"/>
    <w:rsid w:val="006365B5"/>
    <w:rsid w:val="00636D4C"/>
    <w:rsid w:val="00641291"/>
    <w:rsid w:val="00641A7C"/>
    <w:rsid w:val="00643BDD"/>
    <w:rsid w:val="00646237"/>
    <w:rsid w:val="00647823"/>
    <w:rsid w:val="00647ED1"/>
    <w:rsid w:val="006504C4"/>
    <w:rsid w:val="006533CF"/>
    <w:rsid w:val="00654F9A"/>
    <w:rsid w:val="00655FBD"/>
    <w:rsid w:val="00656CCF"/>
    <w:rsid w:val="00656F27"/>
    <w:rsid w:val="0065773F"/>
    <w:rsid w:val="00661478"/>
    <w:rsid w:val="00661F1C"/>
    <w:rsid w:val="006626BD"/>
    <w:rsid w:val="00662EFA"/>
    <w:rsid w:val="00662F32"/>
    <w:rsid w:val="006645B9"/>
    <w:rsid w:val="00664A1C"/>
    <w:rsid w:val="0066589E"/>
    <w:rsid w:val="00665C17"/>
    <w:rsid w:val="006665C2"/>
    <w:rsid w:val="006667F5"/>
    <w:rsid w:val="00666F6A"/>
    <w:rsid w:val="00667415"/>
    <w:rsid w:val="00667505"/>
    <w:rsid w:val="0067036C"/>
    <w:rsid w:val="00670CAF"/>
    <w:rsid w:val="006730E0"/>
    <w:rsid w:val="00673207"/>
    <w:rsid w:val="00673F70"/>
    <w:rsid w:val="0067503B"/>
    <w:rsid w:val="006753A3"/>
    <w:rsid w:val="006758A4"/>
    <w:rsid w:val="00675C82"/>
    <w:rsid w:val="00675CAD"/>
    <w:rsid w:val="00677E90"/>
    <w:rsid w:val="006813C3"/>
    <w:rsid w:val="00681FCE"/>
    <w:rsid w:val="00682246"/>
    <w:rsid w:val="00682B2E"/>
    <w:rsid w:val="00682B8D"/>
    <w:rsid w:val="00682E25"/>
    <w:rsid w:val="0068359F"/>
    <w:rsid w:val="00684CAC"/>
    <w:rsid w:val="00684CF1"/>
    <w:rsid w:val="0068644B"/>
    <w:rsid w:val="00686640"/>
    <w:rsid w:val="0068700D"/>
    <w:rsid w:val="00691390"/>
    <w:rsid w:val="006919DA"/>
    <w:rsid w:val="00694878"/>
    <w:rsid w:val="00695AD4"/>
    <w:rsid w:val="00696BE1"/>
    <w:rsid w:val="006978E7"/>
    <w:rsid w:val="00697EF9"/>
    <w:rsid w:val="006A0443"/>
    <w:rsid w:val="006A0C5C"/>
    <w:rsid w:val="006A15C7"/>
    <w:rsid w:val="006A385D"/>
    <w:rsid w:val="006A38EC"/>
    <w:rsid w:val="006A4FEE"/>
    <w:rsid w:val="006A5012"/>
    <w:rsid w:val="006A684E"/>
    <w:rsid w:val="006A6F41"/>
    <w:rsid w:val="006B049A"/>
    <w:rsid w:val="006B0A64"/>
    <w:rsid w:val="006B1CD1"/>
    <w:rsid w:val="006B3EBD"/>
    <w:rsid w:val="006B459F"/>
    <w:rsid w:val="006B5574"/>
    <w:rsid w:val="006B7644"/>
    <w:rsid w:val="006B7C63"/>
    <w:rsid w:val="006C053E"/>
    <w:rsid w:val="006C129A"/>
    <w:rsid w:val="006C1475"/>
    <w:rsid w:val="006C1F25"/>
    <w:rsid w:val="006C2C16"/>
    <w:rsid w:val="006C41A2"/>
    <w:rsid w:val="006C4800"/>
    <w:rsid w:val="006C60C1"/>
    <w:rsid w:val="006C6ACE"/>
    <w:rsid w:val="006C7CA2"/>
    <w:rsid w:val="006D0F43"/>
    <w:rsid w:val="006D16B0"/>
    <w:rsid w:val="006D1CB6"/>
    <w:rsid w:val="006D1D24"/>
    <w:rsid w:val="006D2193"/>
    <w:rsid w:val="006D2557"/>
    <w:rsid w:val="006D2874"/>
    <w:rsid w:val="006D2E1C"/>
    <w:rsid w:val="006D2FAF"/>
    <w:rsid w:val="006D40F7"/>
    <w:rsid w:val="006D4EF2"/>
    <w:rsid w:val="006D56D1"/>
    <w:rsid w:val="006D5FCF"/>
    <w:rsid w:val="006D6674"/>
    <w:rsid w:val="006D6E45"/>
    <w:rsid w:val="006E0DF9"/>
    <w:rsid w:val="006E1FA0"/>
    <w:rsid w:val="006E2D5E"/>
    <w:rsid w:val="006E2D7C"/>
    <w:rsid w:val="006E2F96"/>
    <w:rsid w:val="006E3B19"/>
    <w:rsid w:val="006E6B39"/>
    <w:rsid w:val="006E772D"/>
    <w:rsid w:val="006F006E"/>
    <w:rsid w:val="006F00B0"/>
    <w:rsid w:val="006F0874"/>
    <w:rsid w:val="006F13AA"/>
    <w:rsid w:val="006F1606"/>
    <w:rsid w:val="006F1651"/>
    <w:rsid w:val="006F1C1D"/>
    <w:rsid w:val="006F2114"/>
    <w:rsid w:val="006F23F4"/>
    <w:rsid w:val="006F3544"/>
    <w:rsid w:val="006F3BF3"/>
    <w:rsid w:val="006F4528"/>
    <w:rsid w:val="006F5414"/>
    <w:rsid w:val="006F62F8"/>
    <w:rsid w:val="006F6EC3"/>
    <w:rsid w:val="006F7AD5"/>
    <w:rsid w:val="006F7E61"/>
    <w:rsid w:val="007012AA"/>
    <w:rsid w:val="00701DFB"/>
    <w:rsid w:val="00702E7D"/>
    <w:rsid w:val="00703829"/>
    <w:rsid w:val="00703903"/>
    <w:rsid w:val="00704A33"/>
    <w:rsid w:val="00705950"/>
    <w:rsid w:val="007067B1"/>
    <w:rsid w:val="00706CC0"/>
    <w:rsid w:val="00710A08"/>
    <w:rsid w:val="00710B90"/>
    <w:rsid w:val="0071155E"/>
    <w:rsid w:val="007117C5"/>
    <w:rsid w:val="00712370"/>
    <w:rsid w:val="00713FA3"/>
    <w:rsid w:val="00714B2D"/>
    <w:rsid w:val="00716796"/>
    <w:rsid w:val="00716834"/>
    <w:rsid w:val="00716F6F"/>
    <w:rsid w:val="00716F91"/>
    <w:rsid w:val="00717066"/>
    <w:rsid w:val="00717616"/>
    <w:rsid w:val="00721407"/>
    <w:rsid w:val="00721B48"/>
    <w:rsid w:val="00722151"/>
    <w:rsid w:val="0072346A"/>
    <w:rsid w:val="007235CB"/>
    <w:rsid w:val="007254D9"/>
    <w:rsid w:val="007255DB"/>
    <w:rsid w:val="00730499"/>
    <w:rsid w:val="00730A78"/>
    <w:rsid w:val="00731369"/>
    <w:rsid w:val="00731600"/>
    <w:rsid w:val="00731AB4"/>
    <w:rsid w:val="00732009"/>
    <w:rsid w:val="00732759"/>
    <w:rsid w:val="00732A9F"/>
    <w:rsid w:val="00732ADB"/>
    <w:rsid w:val="00736020"/>
    <w:rsid w:val="0073639E"/>
    <w:rsid w:val="00736953"/>
    <w:rsid w:val="00741485"/>
    <w:rsid w:val="0074164E"/>
    <w:rsid w:val="0074270F"/>
    <w:rsid w:val="0074287E"/>
    <w:rsid w:val="007429ED"/>
    <w:rsid w:val="00743760"/>
    <w:rsid w:val="00743EDE"/>
    <w:rsid w:val="00744310"/>
    <w:rsid w:val="007444BF"/>
    <w:rsid w:val="0074464A"/>
    <w:rsid w:val="0074466F"/>
    <w:rsid w:val="0074477B"/>
    <w:rsid w:val="00745B28"/>
    <w:rsid w:val="0074622C"/>
    <w:rsid w:val="0074689B"/>
    <w:rsid w:val="007519E6"/>
    <w:rsid w:val="00753030"/>
    <w:rsid w:val="007538E7"/>
    <w:rsid w:val="007539BB"/>
    <w:rsid w:val="00753FA8"/>
    <w:rsid w:val="00754A3E"/>
    <w:rsid w:val="007558DA"/>
    <w:rsid w:val="00755934"/>
    <w:rsid w:val="0075671C"/>
    <w:rsid w:val="007567C6"/>
    <w:rsid w:val="00757507"/>
    <w:rsid w:val="00761D09"/>
    <w:rsid w:val="00761DBB"/>
    <w:rsid w:val="00762EDF"/>
    <w:rsid w:val="007637D3"/>
    <w:rsid w:val="00763E56"/>
    <w:rsid w:val="00765251"/>
    <w:rsid w:val="007652C2"/>
    <w:rsid w:val="00770C32"/>
    <w:rsid w:val="007712DE"/>
    <w:rsid w:val="00772966"/>
    <w:rsid w:val="00772AD3"/>
    <w:rsid w:val="00772E70"/>
    <w:rsid w:val="007737DD"/>
    <w:rsid w:val="0077466A"/>
    <w:rsid w:val="00775685"/>
    <w:rsid w:val="0077716C"/>
    <w:rsid w:val="00777F40"/>
    <w:rsid w:val="00780418"/>
    <w:rsid w:val="007809EE"/>
    <w:rsid w:val="00780FAC"/>
    <w:rsid w:val="00781198"/>
    <w:rsid w:val="007813FD"/>
    <w:rsid w:val="00781766"/>
    <w:rsid w:val="00781C31"/>
    <w:rsid w:val="00782F3D"/>
    <w:rsid w:val="00783BD6"/>
    <w:rsid w:val="00784845"/>
    <w:rsid w:val="00784FE4"/>
    <w:rsid w:val="00785284"/>
    <w:rsid w:val="007862AC"/>
    <w:rsid w:val="007868CD"/>
    <w:rsid w:val="00790D0E"/>
    <w:rsid w:val="00792A81"/>
    <w:rsid w:val="00793465"/>
    <w:rsid w:val="007935EA"/>
    <w:rsid w:val="007936A8"/>
    <w:rsid w:val="0079411D"/>
    <w:rsid w:val="00794E78"/>
    <w:rsid w:val="00795274"/>
    <w:rsid w:val="007955D0"/>
    <w:rsid w:val="00796595"/>
    <w:rsid w:val="007A02D1"/>
    <w:rsid w:val="007A0BFF"/>
    <w:rsid w:val="007A1A05"/>
    <w:rsid w:val="007A204E"/>
    <w:rsid w:val="007A427D"/>
    <w:rsid w:val="007A5D20"/>
    <w:rsid w:val="007A68D9"/>
    <w:rsid w:val="007A73E9"/>
    <w:rsid w:val="007A77A5"/>
    <w:rsid w:val="007A78F6"/>
    <w:rsid w:val="007A7ED2"/>
    <w:rsid w:val="007B04F3"/>
    <w:rsid w:val="007B0691"/>
    <w:rsid w:val="007B1365"/>
    <w:rsid w:val="007B14E7"/>
    <w:rsid w:val="007B22CF"/>
    <w:rsid w:val="007B29F6"/>
    <w:rsid w:val="007B2DB8"/>
    <w:rsid w:val="007B33DA"/>
    <w:rsid w:val="007B343A"/>
    <w:rsid w:val="007B4030"/>
    <w:rsid w:val="007B424E"/>
    <w:rsid w:val="007B5E68"/>
    <w:rsid w:val="007B75F3"/>
    <w:rsid w:val="007B79DA"/>
    <w:rsid w:val="007C1DCE"/>
    <w:rsid w:val="007C3A24"/>
    <w:rsid w:val="007C5236"/>
    <w:rsid w:val="007C5A0C"/>
    <w:rsid w:val="007C71BF"/>
    <w:rsid w:val="007D016E"/>
    <w:rsid w:val="007D0618"/>
    <w:rsid w:val="007D0CBD"/>
    <w:rsid w:val="007D0F20"/>
    <w:rsid w:val="007D23CD"/>
    <w:rsid w:val="007D4156"/>
    <w:rsid w:val="007D4211"/>
    <w:rsid w:val="007D4F5A"/>
    <w:rsid w:val="007D5CBC"/>
    <w:rsid w:val="007D5DEF"/>
    <w:rsid w:val="007D61B8"/>
    <w:rsid w:val="007D70CD"/>
    <w:rsid w:val="007D7AB4"/>
    <w:rsid w:val="007E00B0"/>
    <w:rsid w:val="007E0A6D"/>
    <w:rsid w:val="007E1F94"/>
    <w:rsid w:val="007E204A"/>
    <w:rsid w:val="007E3237"/>
    <w:rsid w:val="007E3454"/>
    <w:rsid w:val="007E3D9F"/>
    <w:rsid w:val="007E45F7"/>
    <w:rsid w:val="007E4944"/>
    <w:rsid w:val="007E5593"/>
    <w:rsid w:val="007E55CE"/>
    <w:rsid w:val="007E65DE"/>
    <w:rsid w:val="007E69A7"/>
    <w:rsid w:val="007F11D8"/>
    <w:rsid w:val="007F1378"/>
    <w:rsid w:val="007F1450"/>
    <w:rsid w:val="007F2239"/>
    <w:rsid w:val="007F408A"/>
    <w:rsid w:val="007F572D"/>
    <w:rsid w:val="007F5ECE"/>
    <w:rsid w:val="007F6573"/>
    <w:rsid w:val="007F6E2F"/>
    <w:rsid w:val="008006E0"/>
    <w:rsid w:val="00801784"/>
    <w:rsid w:val="00802468"/>
    <w:rsid w:val="00803970"/>
    <w:rsid w:val="00803FD8"/>
    <w:rsid w:val="0080447D"/>
    <w:rsid w:val="00805010"/>
    <w:rsid w:val="00806990"/>
    <w:rsid w:val="0080784E"/>
    <w:rsid w:val="00810A53"/>
    <w:rsid w:val="008137BD"/>
    <w:rsid w:val="0081617B"/>
    <w:rsid w:val="0081696C"/>
    <w:rsid w:val="00817AB3"/>
    <w:rsid w:val="0082038B"/>
    <w:rsid w:val="008212B0"/>
    <w:rsid w:val="00821519"/>
    <w:rsid w:val="00823EC5"/>
    <w:rsid w:val="00825032"/>
    <w:rsid w:val="008278B1"/>
    <w:rsid w:val="008301CA"/>
    <w:rsid w:val="00831E18"/>
    <w:rsid w:val="008329CA"/>
    <w:rsid w:val="00833F26"/>
    <w:rsid w:val="00834372"/>
    <w:rsid w:val="008344B5"/>
    <w:rsid w:val="00837010"/>
    <w:rsid w:val="0083745D"/>
    <w:rsid w:val="00837FB1"/>
    <w:rsid w:val="00841A6F"/>
    <w:rsid w:val="0084213E"/>
    <w:rsid w:val="00842A2E"/>
    <w:rsid w:val="0084478C"/>
    <w:rsid w:val="00844BE8"/>
    <w:rsid w:val="00844CD0"/>
    <w:rsid w:val="00846659"/>
    <w:rsid w:val="0085015A"/>
    <w:rsid w:val="00851936"/>
    <w:rsid w:val="00851DFF"/>
    <w:rsid w:val="0085283E"/>
    <w:rsid w:val="00853ADC"/>
    <w:rsid w:val="0085465F"/>
    <w:rsid w:val="00855C37"/>
    <w:rsid w:val="008563D9"/>
    <w:rsid w:val="00856DE6"/>
    <w:rsid w:val="00861040"/>
    <w:rsid w:val="00862271"/>
    <w:rsid w:val="00862A36"/>
    <w:rsid w:val="0086383E"/>
    <w:rsid w:val="00863A4D"/>
    <w:rsid w:val="00863D67"/>
    <w:rsid w:val="008642FB"/>
    <w:rsid w:val="008645E4"/>
    <w:rsid w:val="0086473E"/>
    <w:rsid w:val="0086521E"/>
    <w:rsid w:val="008658CB"/>
    <w:rsid w:val="00865E17"/>
    <w:rsid w:val="008668DA"/>
    <w:rsid w:val="008669D8"/>
    <w:rsid w:val="0086706E"/>
    <w:rsid w:val="00867B3A"/>
    <w:rsid w:val="00870166"/>
    <w:rsid w:val="008710DA"/>
    <w:rsid w:val="00871890"/>
    <w:rsid w:val="00872432"/>
    <w:rsid w:val="0087262E"/>
    <w:rsid w:val="008729C2"/>
    <w:rsid w:val="00873742"/>
    <w:rsid w:val="00873A09"/>
    <w:rsid w:val="00873D11"/>
    <w:rsid w:val="0087520E"/>
    <w:rsid w:val="0087550E"/>
    <w:rsid w:val="0087576F"/>
    <w:rsid w:val="008767CB"/>
    <w:rsid w:val="00877222"/>
    <w:rsid w:val="00880E90"/>
    <w:rsid w:val="00881F02"/>
    <w:rsid w:val="0088306C"/>
    <w:rsid w:val="008831C3"/>
    <w:rsid w:val="0088359A"/>
    <w:rsid w:val="00883857"/>
    <w:rsid w:val="0088443D"/>
    <w:rsid w:val="00884626"/>
    <w:rsid w:val="00884E97"/>
    <w:rsid w:val="00885FAF"/>
    <w:rsid w:val="008861FD"/>
    <w:rsid w:val="008869A6"/>
    <w:rsid w:val="00886B02"/>
    <w:rsid w:val="00886DAC"/>
    <w:rsid w:val="008873EC"/>
    <w:rsid w:val="00887A53"/>
    <w:rsid w:val="00890079"/>
    <w:rsid w:val="00890DFB"/>
    <w:rsid w:val="008917D8"/>
    <w:rsid w:val="00891E46"/>
    <w:rsid w:val="00892069"/>
    <w:rsid w:val="00892929"/>
    <w:rsid w:val="00893648"/>
    <w:rsid w:val="00893D85"/>
    <w:rsid w:val="008942C5"/>
    <w:rsid w:val="00894336"/>
    <w:rsid w:val="00894A90"/>
    <w:rsid w:val="008961A1"/>
    <w:rsid w:val="0089639E"/>
    <w:rsid w:val="00897122"/>
    <w:rsid w:val="00897825"/>
    <w:rsid w:val="008A0E2C"/>
    <w:rsid w:val="008A0F25"/>
    <w:rsid w:val="008A1DEB"/>
    <w:rsid w:val="008A2321"/>
    <w:rsid w:val="008A30F6"/>
    <w:rsid w:val="008A35E6"/>
    <w:rsid w:val="008A4C8F"/>
    <w:rsid w:val="008A55FB"/>
    <w:rsid w:val="008A79FC"/>
    <w:rsid w:val="008B01F9"/>
    <w:rsid w:val="008B0BE0"/>
    <w:rsid w:val="008B1A3C"/>
    <w:rsid w:val="008B23AB"/>
    <w:rsid w:val="008B2E7D"/>
    <w:rsid w:val="008B2F40"/>
    <w:rsid w:val="008B33A0"/>
    <w:rsid w:val="008B4802"/>
    <w:rsid w:val="008B48A8"/>
    <w:rsid w:val="008B571D"/>
    <w:rsid w:val="008B5A42"/>
    <w:rsid w:val="008B67DE"/>
    <w:rsid w:val="008B6BC5"/>
    <w:rsid w:val="008B6FA4"/>
    <w:rsid w:val="008B789E"/>
    <w:rsid w:val="008C0456"/>
    <w:rsid w:val="008C05AA"/>
    <w:rsid w:val="008C1D50"/>
    <w:rsid w:val="008C1F72"/>
    <w:rsid w:val="008C26D8"/>
    <w:rsid w:val="008C2B9E"/>
    <w:rsid w:val="008C3E22"/>
    <w:rsid w:val="008C47C3"/>
    <w:rsid w:val="008C549D"/>
    <w:rsid w:val="008C60D8"/>
    <w:rsid w:val="008D09DF"/>
    <w:rsid w:val="008D0E46"/>
    <w:rsid w:val="008D1170"/>
    <w:rsid w:val="008D1493"/>
    <w:rsid w:val="008D1D4F"/>
    <w:rsid w:val="008D20AD"/>
    <w:rsid w:val="008D267F"/>
    <w:rsid w:val="008D2EAF"/>
    <w:rsid w:val="008D3C0B"/>
    <w:rsid w:val="008D3D93"/>
    <w:rsid w:val="008D3ED4"/>
    <w:rsid w:val="008D4270"/>
    <w:rsid w:val="008D55D6"/>
    <w:rsid w:val="008D5A83"/>
    <w:rsid w:val="008D5EDD"/>
    <w:rsid w:val="008D60E2"/>
    <w:rsid w:val="008D6A42"/>
    <w:rsid w:val="008D6AF3"/>
    <w:rsid w:val="008D74BC"/>
    <w:rsid w:val="008E0931"/>
    <w:rsid w:val="008E105D"/>
    <w:rsid w:val="008E13A5"/>
    <w:rsid w:val="008E1E44"/>
    <w:rsid w:val="008E27D2"/>
    <w:rsid w:val="008E35CE"/>
    <w:rsid w:val="008E5259"/>
    <w:rsid w:val="008E67B4"/>
    <w:rsid w:val="008E77F5"/>
    <w:rsid w:val="008F0225"/>
    <w:rsid w:val="008F023F"/>
    <w:rsid w:val="008F056D"/>
    <w:rsid w:val="008F0977"/>
    <w:rsid w:val="008F22B6"/>
    <w:rsid w:val="008F3FD7"/>
    <w:rsid w:val="008F4215"/>
    <w:rsid w:val="008F4C33"/>
    <w:rsid w:val="008F72AD"/>
    <w:rsid w:val="008F73BA"/>
    <w:rsid w:val="00900584"/>
    <w:rsid w:val="00901F4E"/>
    <w:rsid w:val="009020C0"/>
    <w:rsid w:val="0090311E"/>
    <w:rsid w:val="009055BE"/>
    <w:rsid w:val="00905895"/>
    <w:rsid w:val="00905C0F"/>
    <w:rsid w:val="00906C81"/>
    <w:rsid w:val="009072E2"/>
    <w:rsid w:val="00910BA2"/>
    <w:rsid w:val="009112E1"/>
    <w:rsid w:val="009113FC"/>
    <w:rsid w:val="00911E1C"/>
    <w:rsid w:val="009120DF"/>
    <w:rsid w:val="00912E08"/>
    <w:rsid w:val="00913861"/>
    <w:rsid w:val="009143E8"/>
    <w:rsid w:val="00915F72"/>
    <w:rsid w:val="00916CFB"/>
    <w:rsid w:val="00917A72"/>
    <w:rsid w:val="00920138"/>
    <w:rsid w:val="009207ED"/>
    <w:rsid w:val="00920F90"/>
    <w:rsid w:val="009216D1"/>
    <w:rsid w:val="00921A61"/>
    <w:rsid w:val="009225FD"/>
    <w:rsid w:val="00923179"/>
    <w:rsid w:val="0092481B"/>
    <w:rsid w:val="00926280"/>
    <w:rsid w:val="00926E43"/>
    <w:rsid w:val="0093245C"/>
    <w:rsid w:val="00932969"/>
    <w:rsid w:val="009333BA"/>
    <w:rsid w:val="00933FEC"/>
    <w:rsid w:val="0093628E"/>
    <w:rsid w:val="0093670B"/>
    <w:rsid w:val="00937473"/>
    <w:rsid w:val="009374DF"/>
    <w:rsid w:val="00940999"/>
    <w:rsid w:val="00940C2C"/>
    <w:rsid w:val="00941700"/>
    <w:rsid w:val="00942233"/>
    <w:rsid w:val="0094250B"/>
    <w:rsid w:val="009427D8"/>
    <w:rsid w:val="009444AE"/>
    <w:rsid w:val="00944609"/>
    <w:rsid w:val="00944899"/>
    <w:rsid w:val="009448A3"/>
    <w:rsid w:val="00944945"/>
    <w:rsid w:val="00944F78"/>
    <w:rsid w:val="00945895"/>
    <w:rsid w:val="00945C1E"/>
    <w:rsid w:val="00947ED1"/>
    <w:rsid w:val="0095032E"/>
    <w:rsid w:val="00950517"/>
    <w:rsid w:val="00950EB8"/>
    <w:rsid w:val="009512A5"/>
    <w:rsid w:val="00952607"/>
    <w:rsid w:val="00952781"/>
    <w:rsid w:val="00952A12"/>
    <w:rsid w:val="00952D76"/>
    <w:rsid w:val="009532D6"/>
    <w:rsid w:val="00953921"/>
    <w:rsid w:val="00954A5B"/>
    <w:rsid w:val="0095566E"/>
    <w:rsid w:val="00956D62"/>
    <w:rsid w:val="00956D65"/>
    <w:rsid w:val="00956DA2"/>
    <w:rsid w:val="00962768"/>
    <w:rsid w:val="00962A0C"/>
    <w:rsid w:val="00962EC1"/>
    <w:rsid w:val="0096306D"/>
    <w:rsid w:val="00963173"/>
    <w:rsid w:val="0096371C"/>
    <w:rsid w:val="00963E5D"/>
    <w:rsid w:val="00964A15"/>
    <w:rsid w:val="009662BB"/>
    <w:rsid w:val="00966B8F"/>
    <w:rsid w:val="00967B3E"/>
    <w:rsid w:val="00967FE5"/>
    <w:rsid w:val="00970BFF"/>
    <w:rsid w:val="00971A43"/>
    <w:rsid w:val="00972688"/>
    <w:rsid w:val="00972F31"/>
    <w:rsid w:val="00973D33"/>
    <w:rsid w:val="00974BF5"/>
    <w:rsid w:val="00974D38"/>
    <w:rsid w:val="009753EC"/>
    <w:rsid w:val="00975C2A"/>
    <w:rsid w:val="00977DD0"/>
    <w:rsid w:val="00977DF7"/>
    <w:rsid w:val="009804AD"/>
    <w:rsid w:val="00980AE4"/>
    <w:rsid w:val="009814EA"/>
    <w:rsid w:val="00981A47"/>
    <w:rsid w:val="009823A3"/>
    <w:rsid w:val="00983D7D"/>
    <w:rsid w:val="00984B51"/>
    <w:rsid w:val="0098578D"/>
    <w:rsid w:val="0098684A"/>
    <w:rsid w:val="00987905"/>
    <w:rsid w:val="00987A9B"/>
    <w:rsid w:val="009901C9"/>
    <w:rsid w:val="009903C9"/>
    <w:rsid w:val="00990600"/>
    <w:rsid w:val="00990790"/>
    <w:rsid w:val="00990A8C"/>
    <w:rsid w:val="00992356"/>
    <w:rsid w:val="009926D5"/>
    <w:rsid w:val="00993C69"/>
    <w:rsid w:val="00993DB2"/>
    <w:rsid w:val="009A0602"/>
    <w:rsid w:val="009A25DD"/>
    <w:rsid w:val="009A2CD5"/>
    <w:rsid w:val="009A4727"/>
    <w:rsid w:val="009A552A"/>
    <w:rsid w:val="009A58B8"/>
    <w:rsid w:val="009A6015"/>
    <w:rsid w:val="009A6CBF"/>
    <w:rsid w:val="009A6D1F"/>
    <w:rsid w:val="009A704D"/>
    <w:rsid w:val="009A7596"/>
    <w:rsid w:val="009A79A6"/>
    <w:rsid w:val="009B25CB"/>
    <w:rsid w:val="009B29BE"/>
    <w:rsid w:val="009C023A"/>
    <w:rsid w:val="009C1821"/>
    <w:rsid w:val="009C184E"/>
    <w:rsid w:val="009C1C86"/>
    <w:rsid w:val="009C2943"/>
    <w:rsid w:val="009C347C"/>
    <w:rsid w:val="009C4B34"/>
    <w:rsid w:val="009C66D6"/>
    <w:rsid w:val="009C705D"/>
    <w:rsid w:val="009C70CD"/>
    <w:rsid w:val="009D010C"/>
    <w:rsid w:val="009D052E"/>
    <w:rsid w:val="009D054C"/>
    <w:rsid w:val="009D2151"/>
    <w:rsid w:val="009D2482"/>
    <w:rsid w:val="009D38A7"/>
    <w:rsid w:val="009D4698"/>
    <w:rsid w:val="009D52A6"/>
    <w:rsid w:val="009D5CD2"/>
    <w:rsid w:val="009D76BC"/>
    <w:rsid w:val="009D7A66"/>
    <w:rsid w:val="009E02FE"/>
    <w:rsid w:val="009E0528"/>
    <w:rsid w:val="009E0639"/>
    <w:rsid w:val="009E1375"/>
    <w:rsid w:val="009E2653"/>
    <w:rsid w:val="009E3883"/>
    <w:rsid w:val="009E3C88"/>
    <w:rsid w:val="009E4751"/>
    <w:rsid w:val="009E51CE"/>
    <w:rsid w:val="009E5932"/>
    <w:rsid w:val="009E5CF3"/>
    <w:rsid w:val="009F0A07"/>
    <w:rsid w:val="009F0D96"/>
    <w:rsid w:val="009F16D2"/>
    <w:rsid w:val="009F17D0"/>
    <w:rsid w:val="009F2286"/>
    <w:rsid w:val="009F2440"/>
    <w:rsid w:val="009F281C"/>
    <w:rsid w:val="009F3157"/>
    <w:rsid w:val="009F5CF4"/>
    <w:rsid w:val="009F5E7A"/>
    <w:rsid w:val="009F605B"/>
    <w:rsid w:val="009F64D7"/>
    <w:rsid w:val="009F678C"/>
    <w:rsid w:val="009F67C1"/>
    <w:rsid w:val="009F6984"/>
    <w:rsid w:val="009F6A89"/>
    <w:rsid w:val="00A00B08"/>
    <w:rsid w:val="00A00CCE"/>
    <w:rsid w:val="00A022EC"/>
    <w:rsid w:val="00A02B51"/>
    <w:rsid w:val="00A038BA"/>
    <w:rsid w:val="00A04426"/>
    <w:rsid w:val="00A04CD6"/>
    <w:rsid w:val="00A05488"/>
    <w:rsid w:val="00A05556"/>
    <w:rsid w:val="00A05C7F"/>
    <w:rsid w:val="00A07E88"/>
    <w:rsid w:val="00A10B27"/>
    <w:rsid w:val="00A10E26"/>
    <w:rsid w:val="00A112A4"/>
    <w:rsid w:val="00A11A17"/>
    <w:rsid w:val="00A12392"/>
    <w:rsid w:val="00A13233"/>
    <w:rsid w:val="00A1491E"/>
    <w:rsid w:val="00A15907"/>
    <w:rsid w:val="00A16BC9"/>
    <w:rsid w:val="00A17015"/>
    <w:rsid w:val="00A201CC"/>
    <w:rsid w:val="00A21200"/>
    <w:rsid w:val="00A21B1E"/>
    <w:rsid w:val="00A227F5"/>
    <w:rsid w:val="00A22ED6"/>
    <w:rsid w:val="00A23F56"/>
    <w:rsid w:val="00A253AA"/>
    <w:rsid w:val="00A25466"/>
    <w:rsid w:val="00A26530"/>
    <w:rsid w:val="00A26811"/>
    <w:rsid w:val="00A31458"/>
    <w:rsid w:val="00A319C9"/>
    <w:rsid w:val="00A31C21"/>
    <w:rsid w:val="00A32133"/>
    <w:rsid w:val="00A33173"/>
    <w:rsid w:val="00A33834"/>
    <w:rsid w:val="00A33FD8"/>
    <w:rsid w:val="00A34620"/>
    <w:rsid w:val="00A36D32"/>
    <w:rsid w:val="00A41017"/>
    <w:rsid w:val="00A4107F"/>
    <w:rsid w:val="00A41D62"/>
    <w:rsid w:val="00A42014"/>
    <w:rsid w:val="00A425FF"/>
    <w:rsid w:val="00A43408"/>
    <w:rsid w:val="00A4368F"/>
    <w:rsid w:val="00A442F4"/>
    <w:rsid w:val="00A44B98"/>
    <w:rsid w:val="00A44D83"/>
    <w:rsid w:val="00A4509F"/>
    <w:rsid w:val="00A45FC7"/>
    <w:rsid w:val="00A46CE1"/>
    <w:rsid w:val="00A50E04"/>
    <w:rsid w:val="00A51667"/>
    <w:rsid w:val="00A5342B"/>
    <w:rsid w:val="00A563FA"/>
    <w:rsid w:val="00A601E0"/>
    <w:rsid w:val="00A609E9"/>
    <w:rsid w:val="00A613F9"/>
    <w:rsid w:val="00A63633"/>
    <w:rsid w:val="00A63754"/>
    <w:rsid w:val="00A63BD2"/>
    <w:rsid w:val="00A63E1C"/>
    <w:rsid w:val="00A642E4"/>
    <w:rsid w:val="00A644F9"/>
    <w:rsid w:val="00A651C8"/>
    <w:rsid w:val="00A655C7"/>
    <w:rsid w:val="00A65614"/>
    <w:rsid w:val="00A65D91"/>
    <w:rsid w:val="00A67105"/>
    <w:rsid w:val="00A673F0"/>
    <w:rsid w:val="00A67409"/>
    <w:rsid w:val="00A67D67"/>
    <w:rsid w:val="00A7008F"/>
    <w:rsid w:val="00A72015"/>
    <w:rsid w:val="00A724ED"/>
    <w:rsid w:val="00A726B7"/>
    <w:rsid w:val="00A73EFD"/>
    <w:rsid w:val="00A74D29"/>
    <w:rsid w:val="00A75A80"/>
    <w:rsid w:val="00A75E82"/>
    <w:rsid w:val="00A76320"/>
    <w:rsid w:val="00A766FF"/>
    <w:rsid w:val="00A80D78"/>
    <w:rsid w:val="00A825CE"/>
    <w:rsid w:val="00A82E73"/>
    <w:rsid w:val="00A83576"/>
    <w:rsid w:val="00A8625D"/>
    <w:rsid w:val="00A865DE"/>
    <w:rsid w:val="00A907AD"/>
    <w:rsid w:val="00A90A55"/>
    <w:rsid w:val="00A90C3A"/>
    <w:rsid w:val="00A915E9"/>
    <w:rsid w:val="00A92E36"/>
    <w:rsid w:val="00A93390"/>
    <w:rsid w:val="00A94475"/>
    <w:rsid w:val="00A947D8"/>
    <w:rsid w:val="00A95930"/>
    <w:rsid w:val="00A95B90"/>
    <w:rsid w:val="00A963BC"/>
    <w:rsid w:val="00A9699B"/>
    <w:rsid w:val="00A969E0"/>
    <w:rsid w:val="00A96DDD"/>
    <w:rsid w:val="00AA016F"/>
    <w:rsid w:val="00AA0B6B"/>
    <w:rsid w:val="00AA100E"/>
    <w:rsid w:val="00AA14F4"/>
    <w:rsid w:val="00AA1A9D"/>
    <w:rsid w:val="00AA2027"/>
    <w:rsid w:val="00AA2E49"/>
    <w:rsid w:val="00AA3FC5"/>
    <w:rsid w:val="00AA431F"/>
    <w:rsid w:val="00AA4FBC"/>
    <w:rsid w:val="00AA54FD"/>
    <w:rsid w:val="00AA7008"/>
    <w:rsid w:val="00AA7327"/>
    <w:rsid w:val="00AA74B5"/>
    <w:rsid w:val="00AA76F1"/>
    <w:rsid w:val="00AA7D79"/>
    <w:rsid w:val="00AB27B5"/>
    <w:rsid w:val="00AB2E82"/>
    <w:rsid w:val="00AB3060"/>
    <w:rsid w:val="00AB3249"/>
    <w:rsid w:val="00AB38E3"/>
    <w:rsid w:val="00AB3F2B"/>
    <w:rsid w:val="00AB43A9"/>
    <w:rsid w:val="00AB51CC"/>
    <w:rsid w:val="00AB526C"/>
    <w:rsid w:val="00AB5BA9"/>
    <w:rsid w:val="00AB62F3"/>
    <w:rsid w:val="00AB6430"/>
    <w:rsid w:val="00AB6AE9"/>
    <w:rsid w:val="00AB6EF0"/>
    <w:rsid w:val="00AB7C72"/>
    <w:rsid w:val="00AC005C"/>
    <w:rsid w:val="00AC0246"/>
    <w:rsid w:val="00AC04B0"/>
    <w:rsid w:val="00AC1DC2"/>
    <w:rsid w:val="00AC21F9"/>
    <w:rsid w:val="00AC2837"/>
    <w:rsid w:val="00AC2A21"/>
    <w:rsid w:val="00AC3C54"/>
    <w:rsid w:val="00AC4074"/>
    <w:rsid w:val="00AC4556"/>
    <w:rsid w:val="00AC5948"/>
    <w:rsid w:val="00AC62B9"/>
    <w:rsid w:val="00AD06B4"/>
    <w:rsid w:val="00AD0AFD"/>
    <w:rsid w:val="00AD3CCD"/>
    <w:rsid w:val="00AD44C2"/>
    <w:rsid w:val="00AD56D0"/>
    <w:rsid w:val="00AD577C"/>
    <w:rsid w:val="00AD76E8"/>
    <w:rsid w:val="00AE06E1"/>
    <w:rsid w:val="00AE1AE8"/>
    <w:rsid w:val="00AE1DEC"/>
    <w:rsid w:val="00AE1F47"/>
    <w:rsid w:val="00AE27F7"/>
    <w:rsid w:val="00AE312D"/>
    <w:rsid w:val="00AE3349"/>
    <w:rsid w:val="00AE46A9"/>
    <w:rsid w:val="00AE75B3"/>
    <w:rsid w:val="00AF0705"/>
    <w:rsid w:val="00AF1545"/>
    <w:rsid w:val="00AF19AC"/>
    <w:rsid w:val="00AF1E4A"/>
    <w:rsid w:val="00AF45D7"/>
    <w:rsid w:val="00AF4825"/>
    <w:rsid w:val="00AF4E69"/>
    <w:rsid w:val="00AF5C41"/>
    <w:rsid w:val="00B006C2"/>
    <w:rsid w:val="00B0217F"/>
    <w:rsid w:val="00B02DFA"/>
    <w:rsid w:val="00B030B4"/>
    <w:rsid w:val="00B036E4"/>
    <w:rsid w:val="00B041A5"/>
    <w:rsid w:val="00B0504E"/>
    <w:rsid w:val="00B06597"/>
    <w:rsid w:val="00B10C58"/>
    <w:rsid w:val="00B1125E"/>
    <w:rsid w:val="00B136D7"/>
    <w:rsid w:val="00B153D6"/>
    <w:rsid w:val="00B154CD"/>
    <w:rsid w:val="00B155FD"/>
    <w:rsid w:val="00B156A3"/>
    <w:rsid w:val="00B15C3B"/>
    <w:rsid w:val="00B17260"/>
    <w:rsid w:val="00B20840"/>
    <w:rsid w:val="00B20A9B"/>
    <w:rsid w:val="00B20CFE"/>
    <w:rsid w:val="00B22236"/>
    <w:rsid w:val="00B24E18"/>
    <w:rsid w:val="00B24F4D"/>
    <w:rsid w:val="00B251BF"/>
    <w:rsid w:val="00B2644B"/>
    <w:rsid w:val="00B264B9"/>
    <w:rsid w:val="00B26B12"/>
    <w:rsid w:val="00B26C54"/>
    <w:rsid w:val="00B277C7"/>
    <w:rsid w:val="00B279C7"/>
    <w:rsid w:val="00B33E50"/>
    <w:rsid w:val="00B34625"/>
    <w:rsid w:val="00B35FF3"/>
    <w:rsid w:val="00B371FC"/>
    <w:rsid w:val="00B37269"/>
    <w:rsid w:val="00B37A1F"/>
    <w:rsid w:val="00B4006B"/>
    <w:rsid w:val="00B4105C"/>
    <w:rsid w:val="00B43352"/>
    <w:rsid w:val="00B43DA1"/>
    <w:rsid w:val="00B45030"/>
    <w:rsid w:val="00B451BF"/>
    <w:rsid w:val="00B45624"/>
    <w:rsid w:val="00B47334"/>
    <w:rsid w:val="00B476AD"/>
    <w:rsid w:val="00B47F47"/>
    <w:rsid w:val="00B5028C"/>
    <w:rsid w:val="00B5045B"/>
    <w:rsid w:val="00B53829"/>
    <w:rsid w:val="00B53B50"/>
    <w:rsid w:val="00B53D09"/>
    <w:rsid w:val="00B5401A"/>
    <w:rsid w:val="00B544F3"/>
    <w:rsid w:val="00B546E7"/>
    <w:rsid w:val="00B5534B"/>
    <w:rsid w:val="00B559E3"/>
    <w:rsid w:val="00B55DF8"/>
    <w:rsid w:val="00B56973"/>
    <w:rsid w:val="00B56DE0"/>
    <w:rsid w:val="00B56FC9"/>
    <w:rsid w:val="00B607F2"/>
    <w:rsid w:val="00B60961"/>
    <w:rsid w:val="00B61BB4"/>
    <w:rsid w:val="00B61E08"/>
    <w:rsid w:val="00B64D0B"/>
    <w:rsid w:val="00B6544C"/>
    <w:rsid w:val="00B65EB4"/>
    <w:rsid w:val="00B6695B"/>
    <w:rsid w:val="00B705EF"/>
    <w:rsid w:val="00B7115C"/>
    <w:rsid w:val="00B7289A"/>
    <w:rsid w:val="00B72E5C"/>
    <w:rsid w:val="00B73E3A"/>
    <w:rsid w:val="00B73FBA"/>
    <w:rsid w:val="00B74F42"/>
    <w:rsid w:val="00B75258"/>
    <w:rsid w:val="00B774E5"/>
    <w:rsid w:val="00B77D14"/>
    <w:rsid w:val="00B80ACD"/>
    <w:rsid w:val="00B81450"/>
    <w:rsid w:val="00B82AEF"/>
    <w:rsid w:val="00B83115"/>
    <w:rsid w:val="00B839CD"/>
    <w:rsid w:val="00B843BF"/>
    <w:rsid w:val="00B856B9"/>
    <w:rsid w:val="00B85B53"/>
    <w:rsid w:val="00B862B9"/>
    <w:rsid w:val="00B869A5"/>
    <w:rsid w:val="00B9029E"/>
    <w:rsid w:val="00B90E7E"/>
    <w:rsid w:val="00B90ECA"/>
    <w:rsid w:val="00B91308"/>
    <w:rsid w:val="00B9130B"/>
    <w:rsid w:val="00B91477"/>
    <w:rsid w:val="00B914CE"/>
    <w:rsid w:val="00B917CA"/>
    <w:rsid w:val="00B92B04"/>
    <w:rsid w:val="00B92BCF"/>
    <w:rsid w:val="00B93576"/>
    <w:rsid w:val="00B93C0B"/>
    <w:rsid w:val="00B93E12"/>
    <w:rsid w:val="00B9461A"/>
    <w:rsid w:val="00B95E08"/>
    <w:rsid w:val="00B96BA3"/>
    <w:rsid w:val="00B9732A"/>
    <w:rsid w:val="00B97BD9"/>
    <w:rsid w:val="00BA1C7F"/>
    <w:rsid w:val="00BA3D0B"/>
    <w:rsid w:val="00BA46EF"/>
    <w:rsid w:val="00BA47BB"/>
    <w:rsid w:val="00BA5963"/>
    <w:rsid w:val="00BA5FCE"/>
    <w:rsid w:val="00BA69A2"/>
    <w:rsid w:val="00BA7378"/>
    <w:rsid w:val="00BA74A6"/>
    <w:rsid w:val="00BB0072"/>
    <w:rsid w:val="00BB0918"/>
    <w:rsid w:val="00BB18BC"/>
    <w:rsid w:val="00BB229F"/>
    <w:rsid w:val="00BB24DA"/>
    <w:rsid w:val="00BB2FAC"/>
    <w:rsid w:val="00BB3643"/>
    <w:rsid w:val="00BB4EE0"/>
    <w:rsid w:val="00BB4F40"/>
    <w:rsid w:val="00BC0479"/>
    <w:rsid w:val="00BC0677"/>
    <w:rsid w:val="00BC104C"/>
    <w:rsid w:val="00BC1113"/>
    <w:rsid w:val="00BC1480"/>
    <w:rsid w:val="00BC20BD"/>
    <w:rsid w:val="00BC2B1B"/>
    <w:rsid w:val="00BC39A3"/>
    <w:rsid w:val="00BC3EEE"/>
    <w:rsid w:val="00BC4444"/>
    <w:rsid w:val="00BC452F"/>
    <w:rsid w:val="00BC4576"/>
    <w:rsid w:val="00BC51B1"/>
    <w:rsid w:val="00BC533F"/>
    <w:rsid w:val="00BC5F02"/>
    <w:rsid w:val="00BC6746"/>
    <w:rsid w:val="00BC6B09"/>
    <w:rsid w:val="00BC6F10"/>
    <w:rsid w:val="00BC7DF7"/>
    <w:rsid w:val="00BD1B7D"/>
    <w:rsid w:val="00BD1BCB"/>
    <w:rsid w:val="00BD2918"/>
    <w:rsid w:val="00BD32A1"/>
    <w:rsid w:val="00BD3950"/>
    <w:rsid w:val="00BD4AEB"/>
    <w:rsid w:val="00BD5708"/>
    <w:rsid w:val="00BD5EF4"/>
    <w:rsid w:val="00BD5FEA"/>
    <w:rsid w:val="00BD6029"/>
    <w:rsid w:val="00BD67A1"/>
    <w:rsid w:val="00BD6845"/>
    <w:rsid w:val="00BD6BAD"/>
    <w:rsid w:val="00BD72A3"/>
    <w:rsid w:val="00BE1141"/>
    <w:rsid w:val="00BE29FA"/>
    <w:rsid w:val="00BE32FE"/>
    <w:rsid w:val="00BE33C6"/>
    <w:rsid w:val="00BE3BE5"/>
    <w:rsid w:val="00BE5FA7"/>
    <w:rsid w:val="00BE6C1F"/>
    <w:rsid w:val="00BF24EF"/>
    <w:rsid w:val="00BF356D"/>
    <w:rsid w:val="00BF36E8"/>
    <w:rsid w:val="00BF4808"/>
    <w:rsid w:val="00BF51CB"/>
    <w:rsid w:val="00BF7923"/>
    <w:rsid w:val="00C001B5"/>
    <w:rsid w:val="00C015EB"/>
    <w:rsid w:val="00C0161C"/>
    <w:rsid w:val="00C017C4"/>
    <w:rsid w:val="00C01CF3"/>
    <w:rsid w:val="00C01F6C"/>
    <w:rsid w:val="00C036BA"/>
    <w:rsid w:val="00C0553E"/>
    <w:rsid w:val="00C065FC"/>
    <w:rsid w:val="00C068B7"/>
    <w:rsid w:val="00C07320"/>
    <w:rsid w:val="00C07D44"/>
    <w:rsid w:val="00C10186"/>
    <w:rsid w:val="00C12183"/>
    <w:rsid w:val="00C132FE"/>
    <w:rsid w:val="00C13597"/>
    <w:rsid w:val="00C1371A"/>
    <w:rsid w:val="00C14EF4"/>
    <w:rsid w:val="00C1592D"/>
    <w:rsid w:val="00C15D7D"/>
    <w:rsid w:val="00C16B79"/>
    <w:rsid w:val="00C177E0"/>
    <w:rsid w:val="00C200D6"/>
    <w:rsid w:val="00C21DEB"/>
    <w:rsid w:val="00C2361F"/>
    <w:rsid w:val="00C23622"/>
    <w:rsid w:val="00C257C0"/>
    <w:rsid w:val="00C25B7B"/>
    <w:rsid w:val="00C25D4B"/>
    <w:rsid w:val="00C2655F"/>
    <w:rsid w:val="00C267A7"/>
    <w:rsid w:val="00C27029"/>
    <w:rsid w:val="00C273E1"/>
    <w:rsid w:val="00C277DD"/>
    <w:rsid w:val="00C32FA2"/>
    <w:rsid w:val="00C33132"/>
    <w:rsid w:val="00C34239"/>
    <w:rsid w:val="00C348E9"/>
    <w:rsid w:val="00C3495E"/>
    <w:rsid w:val="00C34D41"/>
    <w:rsid w:val="00C34FEB"/>
    <w:rsid w:val="00C361A5"/>
    <w:rsid w:val="00C3763E"/>
    <w:rsid w:val="00C37CB3"/>
    <w:rsid w:val="00C37DC7"/>
    <w:rsid w:val="00C41059"/>
    <w:rsid w:val="00C43B65"/>
    <w:rsid w:val="00C4416C"/>
    <w:rsid w:val="00C447F0"/>
    <w:rsid w:val="00C45054"/>
    <w:rsid w:val="00C45B36"/>
    <w:rsid w:val="00C46C93"/>
    <w:rsid w:val="00C46D6A"/>
    <w:rsid w:val="00C4701F"/>
    <w:rsid w:val="00C47118"/>
    <w:rsid w:val="00C472B4"/>
    <w:rsid w:val="00C50379"/>
    <w:rsid w:val="00C52396"/>
    <w:rsid w:val="00C52AA3"/>
    <w:rsid w:val="00C535E2"/>
    <w:rsid w:val="00C54B9A"/>
    <w:rsid w:val="00C54D11"/>
    <w:rsid w:val="00C55792"/>
    <w:rsid w:val="00C55A3D"/>
    <w:rsid w:val="00C56FD8"/>
    <w:rsid w:val="00C5768B"/>
    <w:rsid w:val="00C60377"/>
    <w:rsid w:val="00C606A7"/>
    <w:rsid w:val="00C6086C"/>
    <w:rsid w:val="00C60EE9"/>
    <w:rsid w:val="00C62378"/>
    <w:rsid w:val="00C62C7F"/>
    <w:rsid w:val="00C6498E"/>
    <w:rsid w:val="00C64AEB"/>
    <w:rsid w:val="00C64B8B"/>
    <w:rsid w:val="00C653DE"/>
    <w:rsid w:val="00C658CA"/>
    <w:rsid w:val="00C65D26"/>
    <w:rsid w:val="00C674A5"/>
    <w:rsid w:val="00C70276"/>
    <w:rsid w:val="00C745A2"/>
    <w:rsid w:val="00C74BD4"/>
    <w:rsid w:val="00C74D9D"/>
    <w:rsid w:val="00C75303"/>
    <w:rsid w:val="00C7598B"/>
    <w:rsid w:val="00C75D49"/>
    <w:rsid w:val="00C76273"/>
    <w:rsid w:val="00C765DE"/>
    <w:rsid w:val="00C76C8B"/>
    <w:rsid w:val="00C76CB0"/>
    <w:rsid w:val="00C77519"/>
    <w:rsid w:val="00C77836"/>
    <w:rsid w:val="00C81F97"/>
    <w:rsid w:val="00C82494"/>
    <w:rsid w:val="00C82DD1"/>
    <w:rsid w:val="00C830B0"/>
    <w:rsid w:val="00C83149"/>
    <w:rsid w:val="00C831B6"/>
    <w:rsid w:val="00C8344E"/>
    <w:rsid w:val="00C83F4D"/>
    <w:rsid w:val="00C85294"/>
    <w:rsid w:val="00C854E2"/>
    <w:rsid w:val="00C8630A"/>
    <w:rsid w:val="00C863F3"/>
    <w:rsid w:val="00C868A4"/>
    <w:rsid w:val="00C875D6"/>
    <w:rsid w:val="00C9161A"/>
    <w:rsid w:val="00C93063"/>
    <w:rsid w:val="00C93418"/>
    <w:rsid w:val="00C94F51"/>
    <w:rsid w:val="00C9612F"/>
    <w:rsid w:val="00C9622D"/>
    <w:rsid w:val="00C964FB"/>
    <w:rsid w:val="00C978B8"/>
    <w:rsid w:val="00CA0E13"/>
    <w:rsid w:val="00CA0E45"/>
    <w:rsid w:val="00CA383B"/>
    <w:rsid w:val="00CA46DF"/>
    <w:rsid w:val="00CA497C"/>
    <w:rsid w:val="00CA4C90"/>
    <w:rsid w:val="00CA5ABB"/>
    <w:rsid w:val="00CA6EDF"/>
    <w:rsid w:val="00CA70AA"/>
    <w:rsid w:val="00CA7E32"/>
    <w:rsid w:val="00CB062B"/>
    <w:rsid w:val="00CB2267"/>
    <w:rsid w:val="00CB2812"/>
    <w:rsid w:val="00CB30A1"/>
    <w:rsid w:val="00CB370E"/>
    <w:rsid w:val="00CB37F2"/>
    <w:rsid w:val="00CB3DED"/>
    <w:rsid w:val="00CB565C"/>
    <w:rsid w:val="00CB730D"/>
    <w:rsid w:val="00CB7577"/>
    <w:rsid w:val="00CB7787"/>
    <w:rsid w:val="00CB7801"/>
    <w:rsid w:val="00CC07DE"/>
    <w:rsid w:val="00CC2EF8"/>
    <w:rsid w:val="00CC30EB"/>
    <w:rsid w:val="00CC35DA"/>
    <w:rsid w:val="00CC3898"/>
    <w:rsid w:val="00CC4CEC"/>
    <w:rsid w:val="00CC5956"/>
    <w:rsid w:val="00CC5F8F"/>
    <w:rsid w:val="00CC63CA"/>
    <w:rsid w:val="00CC7129"/>
    <w:rsid w:val="00CD0CD8"/>
    <w:rsid w:val="00CD2F4F"/>
    <w:rsid w:val="00CD34E5"/>
    <w:rsid w:val="00CD35DC"/>
    <w:rsid w:val="00CD36D1"/>
    <w:rsid w:val="00CD38D2"/>
    <w:rsid w:val="00CD46D6"/>
    <w:rsid w:val="00CD4963"/>
    <w:rsid w:val="00CD5014"/>
    <w:rsid w:val="00CD53D8"/>
    <w:rsid w:val="00CD64C8"/>
    <w:rsid w:val="00CE01D0"/>
    <w:rsid w:val="00CE06D3"/>
    <w:rsid w:val="00CE06E2"/>
    <w:rsid w:val="00CE0D14"/>
    <w:rsid w:val="00CE1129"/>
    <w:rsid w:val="00CE25A4"/>
    <w:rsid w:val="00CE2CCE"/>
    <w:rsid w:val="00CE45CA"/>
    <w:rsid w:val="00CE49F1"/>
    <w:rsid w:val="00CE4AF7"/>
    <w:rsid w:val="00CE52F0"/>
    <w:rsid w:val="00CE633E"/>
    <w:rsid w:val="00CE663B"/>
    <w:rsid w:val="00CE6E50"/>
    <w:rsid w:val="00CF0142"/>
    <w:rsid w:val="00CF118B"/>
    <w:rsid w:val="00CF210A"/>
    <w:rsid w:val="00CF274E"/>
    <w:rsid w:val="00CF30EA"/>
    <w:rsid w:val="00CF4A2E"/>
    <w:rsid w:val="00CF6362"/>
    <w:rsid w:val="00CF6AE3"/>
    <w:rsid w:val="00CF700C"/>
    <w:rsid w:val="00D00900"/>
    <w:rsid w:val="00D00A7A"/>
    <w:rsid w:val="00D00C60"/>
    <w:rsid w:val="00D01D19"/>
    <w:rsid w:val="00D0299C"/>
    <w:rsid w:val="00D057C3"/>
    <w:rsid w:val="00D060DB"/>
    <w:rsid w:val="00D06D06"/>
    <w:rsid w:val="00D07C14"/>
    <w:rsid w:val="00D1181E"/>
    <w:rsid w:val="00D119B2"/>
    <w:rsid w:val="00D129E5"/>
    <w:rsid w:val="00D12CA3"/>
    <w:rsid w:val="00D13BEF"/>
    <w:rsid w:val="00D13CCA"/>
    <w:rsid w:val="00D1413C"/>
    <w:rsid w:val="00D16A08"/>
    <w:rsid w:val="00D17034"/>
    <w:rsid w:val="00D17558"/>
    <w:rsid w:val="00D20DAC"/>
    <w:rsid w:val="00D2124C"/>
    <w:rsid w:val="00D2402D"/>
    <w:rsid w:val="00D24793"/>
    <w:rsid w:val="00D2510A"/>
    <w:rsid w:val="00D259C5"/>
    <w:rsid w:val="00D25CC4"/>
    <w:rsid w:val="00D25CEC"/>
    <w:rsid w:val="00D270B5"/>
    <w:rsid w:val="00D27252"/>
    <w:rsid w:val="00D277DC"/>
    <w:rsid w:val="00D27B8D"/>
    <w:rsid w:val="00D3055D"/>
    <w:rsid w:val="00D3077E"/>
    <w:rsid w:val="00D3611D"/>
    <w:rsid w:val="00D36260"/>
    <w:rsid w:val="00D36F19"/>
    <w:rsid w:val="00D40081"/>
    <w:rsid w:val="00D410A5"/>
    <w:rsid w:val="00D41EA9"/>
    <w:rsid w:val="00D42DCC"/>
    <w:rsid w:val="00D44894"/>
    <w:rsid w:val="00D455A9"/>
    <w:rsid w:val="00D457D9"/>
    <w:rsid w:val="00D467D8"/>
    <w:rsid w:val="00D473C9"/>
    <w:rsid w:val="00D501B0"/>
    <w:rsid w:val="00D525CA"/>
    <w:rsid w:val="00D52E6D"/>
    <w:rsid w:val="00D535CB"/>
    <w:rsid w:val="00D551DD"/>
    <w:rsid w:val="00D55416"/>
    <w:rsid w:val="00D55D77"/>
    <w:rsid w:val="00D57761"/>
    <w:rsid w:val="00D6163B"/>
    <w:rsid w:val="00D61EE0"/>
    <w:rsid w:val="00D62852"/>
    <w:rsid w:val="00D63CB9"/>
    <w:rsid w:val="00D63F12"/>
    <w:rsid w:val="00D660F0"/>
    <w:rsid w:val="00D67DEF"/>
    <w:rsid w:val="00D70087"/>
    <w:rsid w:val="00D705A1"/>
    <w:rsid w:val="00D71DC1"/>
    <w:rsid w:val="00D722D7"/>
    <w:rsid w:val="00D72492"/>
    <w:rsid w:val="00D73044"/>
    <w:rsid w:val="00D73445"/>
    <w:rsid w:val="00D7379E"/>
    <w:rsid w:val="00D754F9"/>
    <w:rsid w:val="00D75A8E"/>
    <w:rsid w:val="00D75DCC"/>
    <w:rsid w:val="00D76932"/>
    <w:rsid w:val="00D76B1D"/>
    <w:rsid w:val="00D77091"/>
    <w:rsid w:val="00D77CFA"/>
    <w:rsid w:val="00D81A99"/>
    <w:rsid w:val="00D82EC7"/>
    <w:rsid w:val="00D83361"/>
    <w:rsid w:val="00D83482"/>
    <w:rsid w:val="00D8474B"/>
    <w:rsid w:val="00D84EA2"/>
    <w:rsid w:val="00D84F10"/>
    <w:rsid w:val="00D858DD"/>
    <w:rsid w:val="00D87DC1"/>
    <w:rsid w:val="00D91343"/>
    <w:rsid w:val="00D919DD"/>
    <w:rsid w:val="00D92A4B"/>
    <w:rsid w:val="00D94819"/>
    <w:rsid w:val="00D94D86"/>
    <w:rsid w:val="00D95E21"/>
    <w:rsid w:val="00D96BC8"/>
    <w:rsid w:val="00DA24D7"/>
    <w:rsid w:val="00DA268A"/>
    <w:rsid w:val="00DA3490"/>
    <w:rsid w:val="00DA3A99"/>
    <w:rsid w:val="00DA4337"/>
    <w:rsid w:val="00DA479A"/>
    <w:rsid w:val="00DA5031"/>
    <w:rsid w:val="00DA5525"/>
    <w:rsid w:val="00DA5E0E"/>
    <w:rsid w:val="00DA5F1B"/>
    <w:rsid w:val="00DA73E5"/>
    <w:rsid w:val="00DB0C41"/>
    <w:rsid w:val="00DB0F90"/>
    <w:rsid w:val="00DB18AC"/>
    <w:rsid w:val="00DB2ACE"/>
    <w:rsid w:val="00DB374E"/>
    <w:rsid w:val="00DB3A07"/>
    <w:rsid w:val="00DB4302"/>
    <w:rsid w:val="00DB515B"/>
    <w:rsid w:val="00DB65AE"/>
    <w:rsid w:val="00DC00E0"/>
    <w:rsid w:val="00DC0299"/>
    <w:rsid w:val="00DC03E8"/>
    <w:rsid w:val="00DC0F68"/>
    <w:rsid w:val="00DC1A25"/>
    <w:rsid w:val="00DC3007"/>
    <w:rsid w:val="00DC3C53"/>
    <w:rsid w:val="00DC4F93"/>
    <w:rsid w:val="00DC571B"/>
    <w:rsid w:val="00DC5DEE"/>
    <w:rsid w:val="00DC63E8"/>
    <w:rsid w:val="00DC7CFD"/>
    <w:rsid w:val="00DC7F2F"/>
    <w:rsid w:val="00DD0CC8"/>
    <w:rsid w:val="00DD0F5B"/>
    <w:rsid w:val="00DD1D51"/>
    <w:rsid w:val="00DD2D5B"/>
    <w:rsid w:val="00DD3581"/>
    <w:rsid w:val="00DD36A3"/>
    <w:rsid w:val="00DD4844"/>
    <w:rsid w:val="00DD4ACC"/>
    <w:rsid w:val="00DD4B82"/>
    <w:rsid w:val="00DD5B7A"/>
    <w:rsid w:val="00DD634A"/>
    <w:rsid w:val="00DD652A"/>
    <w:rsid w:val="00DD746D"/>
    <w:rsid w:val="00DD7A01"/>
    <w:rsid w:val="00DE13A1"/>
    <w:rsid w:val="00DE15A1"/>
    <w:rsid w:val="00DE2A81"/>
    <w:rsid w:val="00DE3B50"/>
    <w:rsid w:val="00DE436D"/>
    <w:rsid w:val="00DE50A0"/>
    <w:rsid w:val="00DF004C"/>
    <w:rsid w:val="00DF07C9"/>
    <w:rsid w:val="00DF15A3"/>
    <w:rsid w:val="00DF1EAC"/>
    <w:rsid w:val="00DF3AC7"/>
    <w:rsid w:val="00DF4023"/>
    <w:rsid w:val="00DF42B2"/>
    <w:rsid w:val="00DF5242"/>
    <w:rsid w:val="00DF68DF"/>
    <w:rsid w:val="00DF7235"/>
    <w:rsid w:val="00DF795C"/>
    <w:rsid w:val="00E00421"/>
    <w:rsid w:val="00E0226B"/>
    <w:rsid w:val="00E03B3B"/>
    <w:rsid w:val="00E03DF8"/>
    <w:rsid w:val="00E0440E"/>
    <w:rsid w:val="00E06159"/>
    <w:rsid w:val="00E06D23"/>
    <w:rsid w:val="00E111AB"/>
    <w:rsid w:val="00E11F3B"/>
    <w:rsid w:val="00E1258B"/>
    <w:rsid w:val="00E12DE3"/>
    <w:rsid w:val="00E13691"/>
    <w:rsid w:val="00E1507D"/>
    <w:rsid w:val="00E16564"/>
    <w:rsid w:val="00E1702C"/>
    <w:rsid w:val="00E1767D"/>
    <w:rsid w:val="00E20782"/>
    <w:rsid w:val="00E21428"/>
    <w:rsid w:val="00E219A8"/>
    <w:rsid w:val="00E24371"/>
    <w:rsid w:val="00E2470E"/>
    <w:rsid w:val="00E25590"/>
    <w:rsid w:val="00E25F8B"/>
    <w:rsid w:val="00E271ED"/>
    <w:rsid w:val="00E272C2"/>
    <w:rsid w:val="00E273F2"/>
    <w:rsid w:val="00E300A7"/>
    <w:rsid w:val="00E31925"/>
    <w:rsid w:val="00E32D15"/>
    <w:rsid w:val="00E32FC0"/>
    <w:rsid w:val="00E331D9"/>
    <w:rsid w:val="00E33367"/>
    <w:rsid w:val="00E34F18"/>
    <w:rsid w:val="00E3510E"/>
    <w:rsid w:val="00E358A3"/>
    <w:rsid w:val="00E3639B"/>
    <w:rsid w:val="00E36E73"/>
    <w:rsid w:val="00E42162"/>
    <w:rsid w:val="00E426E0"/>
    <w:rsid w:val="00E429FC"/>
    <w:rsid w:val="00E4308B"/>
    <w:rsid w:val="00E4320A"/>
    <w:rsid w:val="00E434AE"/>
    <w:rsid w:val="00E43848"/>
    <w:rsid w:val="00E44935"/>
    <w:rsid w:val="00E46165"/>
    <w:rsid w:val="00E47A6F"/>
    <w:rsid w:val="00E47BBB"/>
    <w:rsid w:val="00E501F2"/>
    <w:rsid w:val="00E50C53"/>
    <w:rsid w:val="00E52368"/>
    <w:rsid w:val="00E523A6"/>
    <w:rsid w:val="00E53110"/>
    <w:rsid w:val="00E53874"/>
    <w:rsid w:val="00E546CE"/>
    <w:rsid w:val="00E5496E"/>
    <w:rsid w:val="00E54BE2"/>
    <w:rsid w:val="00E555D7"/>
    <w:rsid w:val="00E55A36"/>
    <w:rsid w:val="00E56910"/>
    <w:rsid w:val="00E569E2"/>
    <w:rsid w:val="00E5783B"/>
    <w:rsid w:val="00E57A80"/>
    <w:rsid w:val="00E57F65"/>
    <w:rsid w:val="00E60673"/>
    <w:rsid w:val="00E61543"/>
    <w:rsid w:val="00E61721"/>
    <w:rsid w:val="00E6385F"/>
    <w:rsid w:val="00E71568"/>
    <w:rsid w:val="00E7325D"/>
    <w:rsid w:val="00E7346A"/>
    <w:rsid w:val="00E7394B"/>
    <w:rsid w:val="00E748D8"/>
    <w:rsid w:val="00E75045"/>
    <w:rsid w:val="00E75261"/>
    <w:rsid w:val="00E762B9"/>
    <w:rsid w:val="00E7752F"/>
    <w:rsid w:val="00E776E7"/>
    <w:rsid w:val="00E77DCB"/>
    <w:rsid w:val="00E8083A"/>
    <w:rsid w:val="00E81E1F"/>
    <w:rsid w:val="00E82E72"/>
    <w:rsid w:val="00E83023"/>
    <w:rsid w:val="00E834A8"/>
    <w:rsid w:val="00E83876"/>
    <w:rsid w:val="00E83A9C"/>
    <w:rsid w:val="00E84952"/>
    <w:rsid w:val="00E85196"/>
    <w:rsid w:val="00E85671"/>
    <w:rsid w:val="00E864A0"/>
    <w:rsid w:val="00E86F95"/>
    <w:rsid w:val="00E8746F"/>
    <w:rsid w:val="00E90C4A"/>
    <w:rsid w:val="00E9191F"/>
    <w:rsid w:val="00E91DBB"/>
    <w:rsid w:val="00E924A0"/>
    <w:rsid w:val="00E93D74"/>
    <w:rsid w:val="00E94A63"/>
    <w:rsid w:val="00E9511E"/>
    <w:rsid w:val="00E95317"/>
    <w:rsid w:val="00E956EC"/>
    <w:rsid w:val="00E9626C"/>
    <w:rsid w:val="00E9783A"/>
    <w:rsid w:val="00E97B38"/>
    <w:rsid w:val="00E97B94"/>
    <w:rsid w:val="00E97C41"/>
    <w:rsid w:val="00E97E09"/>
    <w:rsid w:val="00EA0364"/>
    <w:rsid w:val="00EA0A29"/>
    <w:rsid w:val="00EA0C32"/>
    <w:rsid w:val="00EA2F01"/>
    <w:rsid w:val="00EA3CF6"/>
    <w:rsid w:val="00EA4284"/>
    <w:rsid w:val="00EA44C4"/>
    <w:rsid w:val="00EA4762"/>
    <w:rsid w:val="00EA49D9"/>
    <w:rsid w:val="00EA4A5C"/>
    <w:rsid w:val="00EA4DA0"/>
    <w:rsid w:val="00EA4FC6"/>
    <w:rsid w:val="00EA5396"/>
    <w:rsid w:val="00EA5F96"/>
    <w:rsid w:val="00EA6199"/>
    <w:rsid w:val="00EA62FD"/>
    <w:rsid w:val="00EB03E3"/>
    <w:rsid w:val="00EB0A1D"/>
    <w:rsid w:val="00EB14A2"/>
    <w:rsid w:val="00EB16ED"/>
    <w:rsid w:val="00EB2F52"/>
    <w:rsid w:val="00EB3CB8"/>
    <w:rsid w:val="00EB4078"/>
    <w:rsid w:val="00EB4601"/>
    <w:rsid w:val="00EB4904"/>
    <w:rsid w:val="00EB49F8"/>
    <w:rsid w:val="00EB5343"/>
    <w:rsid w:val="00EB6680"/>
    <w:rsid w:val="00EB68BE"/>
    <w:rsid w:val="00EB69DE"/>
    <w:rsid w:val="00EB6C7C"/>
    <w:rsid w:val="00EB6CB9"/>
    <w:rsid w:val="00EB6DC6"/>
    <w:rsid w:val="00EB76DB"/>
    <w:rsid w:val="00EB7BCD"/>
    <w:rsid w:val="00EC1B56"/>
    <w:rsid w:val="00EC1E9D"/>
    <w:rsid w:val="00EC338F"/>
    <w:rsid w:val="00EC4218"/>
    <w:rsid w:val="00EC4B94"/>
    <w:rsid w:val="00EC6250"/>
    <w:rsid w:val="00EC665F"/>
    <w:rsid w:val="00ED0996"/>
    <w:rsid w:val="00ED0A84"/>
    <w:rsid w:val="00ED1B11"/>
    <w:rsid w:val="00ED1F35"/>
    <w:rsid w:val="00ED27CD"/>
    <w:rsid w:val="00ED359C"/>
    <w:rsid w:val="00ED3C8D"/>
    <w:rsid w:val="00ED46AC"/>
    <w:rsid w:val="00ED46E7"/>
    <w:rsid w:val="00ED4A4A"/>
    <w:rsid w:val="00ED57EE"/>
    <w:rsid w:val="00ED57F7"/>
    <w:rsid w:val="00ED5E72"/>
    <w:rsid w:val="00ED6B8C"/>
    <w:rsid w:val="00EE0A61"/>
    <w:rsid w:val="00EE1324"/>
    <w:rsid w:val="00EE1379"/>
    <w:rsid w:val="00EE1ADC"/>
    <w:rsid w:val="00EE1B4B"/>
    <w:rsid w:val="00EE27A3"/>
    <w:rsid w:val="00EE33F4"/>
    <w:rsid w:val="00EE37D5"/>
    <w:rsid w:val="00EE436B"/>
    <w:rsid w:val="00EE46B6"/>
    <w:rsid w:val="00EE4769"/>
    <w:rsid w:val="00EE4AC2"/>
    <w:rsid w:val="00EE50F6"/>
    <w:rsid w:val="00EE6103"/>
    <w:rsid w:val="00EE6768"/>
    <w:rsid w:val="00EF07EB"/>
    <w:rsid w:val="00EF0C22"/>
    <w:rsid w:val="00EF1E68"/>
    <w:rsid w:val="00EF202C"/>
    <w:rsid w:val="00EF2647"/>
    <w:rsid w:val="00EF2EA6"/>
    <w:rsid w:val="00EF3261"/>
    <w:rsid w:val="00EF3374"/>
    <w:rsid w:val="00EF35B8"/>
    <w:rsid w:val="00EF3B27"/>
    <w:rsid w:val="00EF3CE8"/>
    <w:rsid w:val="00EF4294"/>
    <w:rsid w:val="00EF536A"/>
    <w:rsid w:val="00EF542E"/>
    <w:rsid w:val="00EF5B22"/>
    <w:rsid w:val="00EF5E4A"/>
    <w:rsid w:val="00EF6658"/>
    <w:rsid w:val="00EF7599"/>
    <w:rsid w:val="00EF771C"/>
    <w:rsid w:val="00F0077D"/>
    <w:rsid w:val="00F01E24"/>
    <w:rsid w:val="00F0212D"/>
    <w:rsid w:val="00F02BA5"/>
    <w:rsid w:val="00F02F4C"/>
    <w:rsid w:val="00F03672"/>
    <w:rsid w:val="00F036AB"/>
    <w:rsid w:val="00F036F0"/>
    <w:rsid w:val="00F03DC0"/>
    <w:rsid w:val="00F047DF"/>
    <w:rsid w:val="00F04935"/>
    <w:rsid w:val="00F0498C"/>
    <w:rsid w:val="00F04A6B"/>
    <w:rsid w:val="00F04EC7"/>
    <w:rsid w:val="00F069E1"/>
    <w:rsid w:val="00F10163"/>
    <w:rsid w:val="00F11A30"/>
    <w:rsid w:val="00F12428"/>
    <w:rsid w:val="00F12B39"/>
    <w:rsid w:val="00F15368"/>
    <w:rsid w:val="00F15C58"/>
    <w:rsid w:val="00F15D36"/>
    <w:rsid w:val="00F16726"/>
    <w:rsid w:val="00F16A2B"/>
    <w:rsid w:val="00F16F90"/>
    <w:rsid w:val="00F172ED"/>
    <w:rsid w:val="00F177EB"/>
    <w:rsid w:val="00F20863"/>
    <w:rsid w:val="00F211CE"/>
    <w:rsid w:val="00F218BD"/>
    <w:rsid w:val="00F21D32"/>
    <w:rsid w:val="00F24656"/>
    <w:rsid w:val="00F25167"/>
    <w:rsid w:val="00F25940"/>
    <w:rsid w:val="00F261E2"/>
    <w:rsid w:val="00F267A8"/>
    <w:rsid w:val="00F268C4"/>
    <w:rsid w:val="00F269A5"/>
    <w:rsid w:val="00F26C28"/>
    <w:rsid w:val="00F27CF6"/>
    <w:rsid w:val="00F30305"/>
    <w:rsid w:val="00F31682"/>
    <w:rsid w:val="00F31D8A"/>
    <w:rsid w:val="00F322A1"/>
    <w:rsid w:val="00F32CE1"/>
    <w:rsid w:val="00F331B4"/>
    <w:rsid w:val="00F33C92"/>
    <w:rsid w:val="00F34AE3"/>
    <w:rsid w:val="00F35120"/>
    <w:rsid w:val="00F35136"/>
    <w:rsid w:val="00F36D75"/>
    <w:rsid w:val="00F36F48"/>
    <w:rsid w:val="00F370DA"/>
    <w:rsid w:val="00F3735A"/>
    <w:rsid w:val="00F3777B"/>
    <w:rsid w:val="00F37BF7"/>
    <w:rsid w:val="00F37F19"/>
    <w:rsid w:val="00F408BA"/>
    <w:rsid w:val="00F40FA5"/>
    <w:rsid w:val="00F4122D"/>
    <w:rsid w:val="00F41428"/>
    <w:rsid w:val="00F41474"/>
    <w:rsid w:val="00F42142"/>
    <w:rsid w:val="00F42FD4"/>
    <w:rsid w:val="00F43ECE"/>
    <w:rsid w:val="00F44179"/>
    <w:rsid w:val="00F44811"/>
    <w:rsid w:val="00F46091"/>
    <w:rsid w:val="00F461FF"/>
    <w:rsid w:val="00F46768"/>
    <w:rsid w:val="00F468B6"/>
    <w:rsid w:val="00F47C6F"/>
    <w:rsid w:val="00F50BEE"/>
    <w:rsid w:val="00F50DF2"/>
    <w:rsid w:val="00F50F6E"/>
    <w:rsid w:val="00F51048"/>
    <w:rsid w:val="00F51643"/>
    <w:rsid w:val="00F51986"/>
    <w:rsid w:val="00F54493"/>
    <w:rsid w:val="00F549D5"/>
    <w:rsid w:val="00F5500D"/>
    <w:rsid w:val="00F56592"/>
    <w:rsid w:val="00F568ED"/>
    <w:rsid w:val="00F57665"/>
    <w:rsid w:val="00F578E6"/>
    <w:rsid w:val="00F57DDF"/>
    <w:rsid w:val="00F61A15"/>
    <w:rsid w:val="00F63702"/>
    <w:rsid w:val="00F64BC8"/>
    <w:rsid w:val="00F651B7"/>
    <w:rsid w:val="00F65972"/>
    <w:rsid w:val="00F66524"/>
    <w:rsid w:val="00F66E1A"/>
    <w:rsid w:val="00F67171"/>
    <w:rsid w:val="00F67875"/>
    <w:rsid w:val="00F67CE1"/>
    <w:rsid w:val="00F7080D"/>
    <w:rsid w:val="00F710F9"/>
    <w:rsid w:val="00F7162A"/>
    <w:rsid w:val="00F71D85"/>
    <w:rsid w:val="00F72772"/>
    <w:rsid w:val="00F7328A"/>
    <w:rsid w:val="00F73323"/>
    <w:rsid w:val="00F73B45"/>
    <w:rsid w:val="00F74BBF"/>
    <w:rsid w:val="00F7745B"/>
    <w:rsid w:val="00F77881"/>
    <w:rsid w:val="00F779F3"/>
    <w:rsid w:val="00F77C77"/>
    <w:rsid w:val="00F80274"/>
    <w:rsid w:val="00F80CA1"/>
    <w:rsid w:val="00F80F6D"/>
    <w:rsid w:val="00F814D4"/>
    <w:rsid w:val="00F81A22"/>
    <w:rsid w:val="00F81A5A"/>
    <w:rsid w:val="00F8342A"/>
    <w:rsid w:val="00F835AD"/>
    <w:rsid w:val="00F83FF9"/>
    <w:rsid w:val="00F84687"/>
    <w:rsid w:val="00F84CFB"/>
    <w:rsid w:val="00F85309"/>
    <w:rsid w:val="00F85E2D"/>
    <w:rsid w:val="00F867B6"/>
    <w:rsid w:val="00F86B8D"/>
    <w:rsid w:val="00F87235"/>
    <w:rsid w:val="00F90A13"/>
    <w:rsid w:val="00F90D17"/>
    <w:rsid w:val="00F9131C"/>
    <w:rsid w:val="00F922B4"/>
    <w:rsid w:val="00F9316C"/>
    <w:rsid w:val="00F934D9"/>
    <w:rsid w:val="00F93677"/>
    <w:rsid w:val="00F9440D"/>
    <w:rsid w:val="00F96858"/>
    <w:rsid w:val="00FA13E4"/>
    <w:rsid w:val="00FA2030"/>
    <w:rsid w:val="00FA2072"/>
    <w:rsid w:val="00FA29F5"/>
    <w:rsid w:val="00FA2FA2"/>
    <w:rsid w:val="00FA3386"/>
    <w:rsid w:val="00FA56E0"/>
    <w:rsid w:val="00FA6CDA"/>
    <w:rsid w:val="00FA6CE7"/>
    <w:rsid w:val="00FA7E62"/>
    <w:rsid w:val="00FB1A49"/>
    <w:rsid w:val="00FB2960"/>
    <w:rsid w:val="00FB2AED"/>
    <w:rsid w:val="00FB34C4"/>
    <w:rsid w:val="00FB47CE"/>
    <w:rsid w:val="00FB588F"/>
    <w:rsid w:val="00FB60C4"/>
    <w:rsid w:val="00FC0D14"/>
    <w:rsid w:val="00FC1687"/>
    <w:rsid w:val="00FC2452"/>
    <w:rsid w:val="00FC2D90"/>
    <w:rsid w:val="00FC2ED7"/>
    <w:rsid w:val="00FC2FA0"/>
    <w:rsid w:val="00FC3558"/>
    <w:rsid w:val="00FC3CCC"/>
    <w:rsid w:val="00FC6DA2"/>
    <w:rsid w:val="00FC7151"/>
    <w:rsid w:val="00FC7227"/>
    <w:rsid w:val="00FD1088"/>
    <w:rsid w:val="00FD1642"/>
    <w:rsid w:val="00FD1871"/>
    <w:rsid w:val="00FD1B5F"/>
    <w:rsid w:val="00FD249E"/>
    <w:rsid w:val="00FD276A"/>
    <w:rsid w:val="00FD2B55"/>
    <w:rsid w:val="00FD301B"/>
    <w:rsid w:val="00FD3BFE"/>
    <w:rsid w:val="00FD3F71"/>
    <w:rsid w:val="00FD4661"/>
    <w:rsid w:val="00FD5560"/>
    <w:rsid w:val="00FD6327"/>
    <w:rsid w:val="00FD6A09"/>
    <w:rsid w:val="00FD6C38"/>
    <w:rsid w:val="00FD724A"/>
    <w:rsid w:val="00FD7EE5"/>
    <w:rsid w:val="00FE2F1D"/>
    <w:rsid w:val="00FE348D"/>
    <w:rsid w:val="00FE34FC"/>
    <w:rsid w:val="00FE5678"/>
    <w:rsid w:val="00FE5680"/>
    <w:rsid w:val="00FE67E5"/>
    <w:rsid w:val="00FE7058"/>
    <w:rsid w:val="00FE7999"/>
    <w:rsid w:val="00FE7EFA"/>
    <w:rsid w:val="00FF16E2"/>
    <w:rsid w:val="00FF25F3"/>
    <w:rsid w:val="00FF2D5B"/>
    <w:rsid w:val="00FF5390"/>
    <w:rsid w:val="00FF5E51"/>
    <w:rsid w:val="14987380"/>
    <w:rsid w:val="31A0634F"/>
    <w:rsid w:val="3A46396B"/>
    <w:rsid w:val="3F9D8079"/>
    <w:rsid w:val="41857E8A"/>
    <w:rsid w:val="430001EF"/>
    <w:rsid w:val="5EA421B1"/>
    <w:rsid w:val="60354A62"/>
    <w:rsid w:val="69EB686A"/>
    <w:rsid w:val="6ABD94E5"/>
    <w:rsid w:val="7085ACAA"/>
    <w:rsid w:val="70FCC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1B4EA"/>
  <w15:docId w15:val="{216C43D3-E7AE-4AB0-8355-3CCD99E3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12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Standardtext"/>
    <w:next w:val="Normal"/>
    <w:link w:val="Ttulo1Car"/>
    <w:uiPriority w:val="9"/>
    <w:qFormat/>
    <w:rsid w:val="00EA5F96"/>
    <w:pPr>
      <w:numPr>
        <w:numId w:val="1"/>
      </w:numPr>
      <w:spacing w:before="240" w:after="240"/>
      <w:jc w:val="both"/>
      <w:outlineLvl w:val="0"/>
    </w:pPr>
    <w:rPr>
      <w:rFonts w:ascii="Arial" w:hAnsi="Arial" w:cs="Arial"/>
      <w:b/>
      <w:lang w:val="es-MX"/>
    </w:rPr>
  </w:style>
  <w:style w:type="paragraph" w:styleId="Ttulo2">
    <w:name w:val="heading 2"/>
    <w:basedOn w:val="Standardtext"/>
    <w:next w:val="Normal"/>
    <w:link w:val="Ttulo2Car"/>
    <w:uiPriority w:val="9"/>
    <w:unhideWhenUsed/>
    <w:qFormat/>
    <w:rsid w:val="00FD2B55"/>
    <w:pPr>
      <w:numPr>
        <w:ilvl w:val="1"/>
        <w:numId w:val="1"/>
      </w:numPr>
      <w:spacing w:before="120" w:after="120"/>
      <w:ind w:left="3977"/>
      <w:jc w:val="both"/>
      <w:outlineLvl w:val="1"/>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7122"/>
    <w:pPr>
      <w:tabs>
        <w:tab w:val="center" w:pos="4419"/>
        <w:tab w:val="right" w:pos="8838"/>
      </w:tabs>
    </w:pPr>
  </w:style>
  <w:style w:type="character" w:customStyle="1" w:styleId="EncabezadoCar">
    <w:name w:val="Encabezado Car"/>
    <w:basedOn w:val="Fuentedeprrafopredeter"/>
    <w:link w:val="Encabezado"/>
    <w:uiPriority w:val="99"/>
    <w:rsid w:val="0089712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897122"/>
    <w:pPr>
      <w:tabs>
        <w:tab w:val="center" w:pos="4419"/>
        <w:tab w:val="right" w:pos="8838"/>
      </w:tabs>
    </w:pPr>
  </w:style>
  <w:style w:type="character" w:customStyle="1" w:styleId="PiedepginaCar">
    <w:name w:val="Pie de página Car"/>
    <w:basedOn w:val="Fuentedeprrafopredeter"/>
    <w:link w:val="Piedepgina"/>
    <w:uiPriority w:val="99"/>
    <w:rsid w:val="00897122"/>
    <w:rPr>
      <w:rFonts w:ascii="Times New Roman" w:eastAsia="Times New Roman" w:hAnsi="Times New Roman" w:cs="Times New Roman"/>
      <w:sz w:val="24"/>
      <w:szCs w:val="20"/>
      <w:lang w:val="es-ES_tradnl" w:eastAsia="es-ES"/>
    </w:rPr>
  </w:style>
  <w:style w:type="character" w:styleId="Nmerodepgina">
    <w:name w:val="page number"/>
    <w:basedOn w:val="Fuentedeprrafopredeter"/>
    <w:semiHidden/>
    <w:rsid w:val="00897122"/>
  </w:style>
  <w:style w:type="character" w:styleId="Refdecomentario">
    <w:name w:val="annotation reference"/>
    <w:rsid w:val="00897122"/>
    <w:rPr>
      <w:sz w:val="16"/>
      <w:szCs w:val="16"/>
    </w:rPr>
  </w:style>
  <w:style w:type="paragraph" w:styleId="Textocomentario">
    <w:name w:val="annotation text"/>
    <w:basedOn w:val="Normal"/>
    <w:link w:val="TextocomentarioCar"/>
    <w:semiHidden/>
    <w:rsid w:val="00897122"/>
    <w:rPr>
      <w:sz w:val="20"/>
    </w:rPr>
  </w:style>
  <w:style w:type="character" w:customStyle="1" w:styleId="TextocomentarioCar">
    <w:name w:val="Texto comentario Car"/>
    <w:basedOn w:val="Fuentedeprrafopredeter"/>
    <w:link w:val="Textocomentario"/>
    <w:semiHidden/>
    <w:rsid w:val="00897122"/>
    <w:rPr>
      <w:rFonts w:ascii="Times New Roman" w:eastAsia="Times New Roman" w:hAnsi="Times New Roman" w:cs="Times New Roman"/>
      <w:sz w:val="20"/>
      <w:szCs w:val="20"/>
      <w:lang w:val="es-ES_tradnl" w:eastAsia="es-ES"/>
    </w:rPr>
  </w:style>
  <w:style w:type="character" w:styleId="Hipervnculo">
    <w:name w:val="Hyperlink"/>
    <w:uiPriority w:val="99"/>
    <w:rsid w:val="00897122"/>
    <w:rPr>
      <w:color w:val="0000FF"/>
      <w:u w:val="single"/>
    </w:rPr>
  </w:style>
  <w:style w:type="paragraph" w:customStyle="1" w:styleId="Standardtext">
    <w:name w:val="Standard text"/>
    <w:qFormat/>
    <w:rsid w:val="00897122"/>
    <w:pPr>
      <w:spacing w:before="40" w:after="160"/>
    </w:pPr>
    <w:rPr>
      <w:rFonts w:ascii="Calibri" w:eastAsia="Calibri" w:hAnsi="Calibri" w:cs="Times New Roman"/>
      <w:lang w:val="en-US"/>
    </w:rPr>
  </w:style>
  <w:style w:type="paragraph" w:styleId="TDC1">
    <w:name w:val="toc 1"/>
    <w:basedOn w:val="Normal"/>
    <w:next w:val="Normal"/>
    <w:autoRedefine/>
    <w:uiPriority w:val="39"/>
    <w:rsid w:val="00A80D78"/>
    <w:pPr>
      <w:tabs>
        <w:tab w:val="left" w:pos="440"/>
        <w:tab w:val="right" w:leader="dot" w:pos="8828"/>
      </w:tabs>
      <w:spacing w:before="240" w:after="240"/>
    </w:pPr>
    <w:rPr>
      <w:rFonts w:ascii="Arial" w:hAnsi="Arial"/>
    </w:rPr>
  </w:style>
  <w:style w:type="character" w:styleId="Hipervnculovisitado">
    <w:name w:val="FollowedHyperlink"/>
    <w:basedOn w:val="Fuentedeprrafopredeter"/>
    <w:uiPriority w:val="99"/>
    <w:semiHidden/>
    <w:unhideWhenUsed/>
    <w:rsid w:val="00EE37D5"/>
    <w:rPr>
      <w:color w:val="800080" w:themeColor="followedHyperlink"/>
      <w:u w:val="single"/>
    </w:rPr>
  </w:style>
  <w:style w:type="character" w:customStyle="1" w:styleId="Ttulo1Car">
    <w:name w:val="Título 1 Car"/>
    <w:basedOn w:val="Fuentedeprrafopredeter"/>
    <w:link w:val="Ttulo1"/>
    <w:uiPriority w:val="9"/>
    <w:rsid w:val="00EA5F96"/>
    <w:rPr>
      <w:rFonts w:ascii="Arial" w:eastAsia="Calibri" w:hAnsi="Arial" w:cs="Arial"/>
      <w:b/>
    </w:rPr>
  </w:style>
  <w:style w:type="character" w:customStyle="1" w:styleId="Ttulo2Car">
    <w:name w:val="Título 2 Car"/>
    <w:basedOn w:val="Fuentedeprrafopredeter"/>
    <w:link w:val="Ttulo2"/>
    <w:uiPriority w:val="9"/>
    <w:rsid w:val="00FD2B55"/>
    <w:rPr>
      <w:rFonts w:ascii="Arial" w:eastAsia="Calibri" w:hAnsi="Arial" w:cs="Arial"/>
      <w:b/>
    </w:rPr>
  </w:style>
  <w:style w:type="paragraph" w:styleId="TDC2">
    <w:name w:val="toc 2"/>
    <w:basedOn w:val="Normal"/>
    <w:next w:val="Normal"/>
    <w:autoRedefine/>
    <w:uiPriority w:val="39"/>
    <w:unhideWhenUsed/>
    <w:rsid w:val="00782F3D"/>
    <w:pPr>
      <w:spacing w:after="100"/>
      <w:ind w:left="240"/>
    </w:pPr>
  </w:style>
  <w:style w:type="paragraph" w:styleId="Revisin">
    <w:name w:val="Revision"/>
    <w:hidden/>
    <w:uiPriority w:val="99"/>
    <w:semiHidden/>
    <w:rsid w:val="00616C96"/>
    <w:pPr>
      <w:spacing w:after="0" w:line="240" w:lineRule="auto"/>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616C96"/>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C96"/>
    <w:rPr>
      <w:rFonts w:ascii="Tahoma" w:eastAsia="Times New Roman" w:hAnsi="Tahoma" w:cs="Tahoma"/>
      <w:sz w:val="16"/>
      <w:szCs w:val="16"/>
      <w:lang w:val="es-ES_tradnl" w:eastAsia="es-ES"/>
    </w:rPr>
  </w:style>
  <w:style w:type="paragraph" w:styleId="Sangradetextonormal">
    <w:name w:val="Body Text Indent"/>
    <w:basedOn w:val="Normal"/>
    <w:link w:val="SangradetextonormalCar"/>
    <w:semiHidden/>
    <w:rsid w:val="007D0F20"/>
    <w:pPr>
      <w:tabs>
        <w:tab w:val="left" w:pos="1134"/>
      </w:tabs>
      <w:ind w:left="1134" w:hanging="1134"/>
      <w:jc w:val="both"/>
    </w:pPr>
    <w:rPr>
      <w:rFonts w:ascii="Arial" w:hAnsi="Arial"/>
      <w:sz w:val="22"/>
    </w:rPr>
  </w:style>
  <w:style w:type="character" w:customStyle="1" w:styleId="SangradetextonormalCar">
    <w:name w:val="Sangría de texto normal Car"/>
    <w:basedOn w:val="Fuentedeprrafopredeter"/>
    <w:link w:val="Sangradetextonormal"/>
    <w:semiHidden/>
    <w:rsid w:val="007D0F20"/>
    <w:rPr>
      <w:rFonts w:ascii="Arial" w:eastAsia="Times New Roman" w:hAnsi="Arial" w:cs="Times New Roman"/>
      <w:szCs w:val="20"/>
      <w:lang w:val="es-ES_tradnl" w:eastAsia="es-ES"/>
    </w:rPr>
  </w:style>
  <w:style w:type="paragraph" w:styleId="Prrafodelista">
    <w:name w:val="List Paragraph"/>
    <w:aliases w:val="Bullets"/>
    <w:basedOn w:val="Normal"/>
    <w:link w:val="PrrafodelistaCar"/>
    <w:uiPriority w:val="34"/>
    <w:qFormat/>
    <w:rsid w:val="007D0F20"/>
    <w:pPr>
      <w:ind w:left="708"/>
    </w:pPr>
  </w:style>
  <w:style w:type="character" w:customStyle="1" w:styleId="PrrafodelistaCar">
    <w:name w:val="Párrafo de lista Car"/>
    <w:aliases w:val="Bullets Car"/>
    <w:link w:val="Prrafodelista"/>
    <w:uiPriority w:val="34"/>
    <w:rsid w:val="007D0F2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nhideWhenUsed/>
    <w:rsid w:val="00941700"/>
    <w:pPr>
      <w:spacing w:after="120"/>
    </w:pPr>
  </w:style>
  <w:style w:type="character" w:customStyle="1" w:styleId="TextoindependienteCar">
    <w:name w:val="Texto independiente Car"/>
    <w:basedOn w:val="Fuentedeprrafopredeter"/>
    <w:link w:val="Textoindependiente"/>
    <w:rsid w:val="00941700"/>
    <w:rPr>
      <w:rFonts w:ascii="Times New Roman" w:eastAsia="Times New Roman" w:hAnsi="Times New Roman"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87DC1"/>
    <w:rPr>
      <w:b/>
      <w:bCs/>
    </w:rPr>
  </w:style>
  <w:style w:type="character" w:customStyle="1" w:styleId="AsuntodelcomentarioCar">
    <w:name w:val="Asunto del comentario Car"/>
    <w:basedOn w:val="TextocomentarioCar"/>
    <w:link w:val="Asuntodelcomentario"/>
    <w:uiPriority w:val="99"/>
    <w:semiHidden/>
    <w:rsid w:val="00D87DC1"/>
    <w:rPr>
      <w:rFonts w:ascii="Times New Roman" w:eastAsia="Times New Roman" w:hAnsi="Times New Roman" w:cs="Times New Roman"/>
      <w:b/>
      <w:bCs/>
      <w:sz w:val="20"/>
      <w:szCs w:val="20"/>
      <w:lang w:val="es-ES_tradnl" w:eastAsia="es-ES"/>
    </w:rPr>
  </w:style>
  <w:style w:type="paragraph" w:styleId="Textoindependiente3">
    <w:name w:val="Body Text 3"/>
    <w:basedOn w:val="Normal"/>
    <w:link w:val="Textoindependiente3Car"/>
    <w:uiPriority w:val="99"/>
    <w:unhideWhenUsed/>
    <w:rsid w:val="00AA4FBC"/>
    <w:pPr>
      <w:spacing w:after="120"/>
    </w:pPr>
    <w:rPr>
      <w:sz w:val="16"/>
      <w:szCs w:val="16"/>
    </w:rPr>
  </w:style>
  <w:style w:type="character" w:customStyle="1" w:styleId="Textoindependiente3Car">
    <w:name w:val="Texto independiente 3 Car"/>
    <w:basedOn w:val="Fuentedeprrafopredeter"/>
    <w:link w:val="Textoindependiente3"/>
    <w:uiPriority w:val="99"/>
    <w:rsid w:val="00AA4FBC"/>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8920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92069"/>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3D5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3D57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3D57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74689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nfasis11">
    <w:name w:val="Tabla de cuadrícula 2 - Énfasis 11"/>
    <w:basedOn w:val="Tablanormal"/>
    <w:uiPriority w:val="47"/>
    <w:rsid w:val="0074689B"/>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D4ACC"/>
    <w:pPr>
      <w:autoSpaceDE w:val="0"/>
      <w:autoSpaceDN w:val="0"/>
      <w:adjustRightInd w:val="0"/>
      <w:spacing w:after="0" w:line="240" w:lineRule="auto"/>
    </w:pPr>
    <w:rPr>
      <w:rFonts w:ascii="Calibri" w:hAnsi="Calibri" w:cs="Calibri"/>
      <w:color w:val="000000"/>
      <w:sz w:val="24"/>
      <w:szCs w:val="24"/>
    </w:rPr>
  </w:style>
  <w:style w:type="character" w:styleId="Nmerodelnea">
    <w:name w:val="line number"/>
    <w:basedOn w:val="Fuentedeprrafopredeter"/>
    <w:uiPriority w:val="99"/>
    <w:semiHidden/>
    <w:unhideWhenUsed/>
    <w:rsid w:val="004B28BC"/>
  </w:style>
  <w:style w:type="table" w:styleId="Tablanormal1">
    <w:name w:val="Plain Table 1"/>
    <w:basedOn w:val="Tablanormal"/>
    <w:uiPriority w:val="41"/>
    <w:rsid w:val="004D7B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7450">
      <w:bodyDiv w:val="1"/>
      <w:marLeft w:val="0"/>
      <w:marRight w:val="0"/>
      <w:marTop w:val="0"/>
      <w:marBottom w:val="0"/>
      <w:divBdr>
        <w:top w:val="none" w:sz="0" w:space="0" w:color="auto"/>
        <w:left w:val="none" w:sz="0" w:space="0" w:color="auto"/>
        <w:bottom w:val="none" w:sz="0" w:space="0" w:color="auto"/>
        <w:right w:val="none" w:sz="0" w:space="0" w:color="auto"/>
      </w:divBdr>
    </w:div>
    <w:div w:id="350300236">
      <w:bodyDiv w:val="1"/>
      <w:marLeft w:val="0"/>
      <w:marRight w:val="0"/>
      <w:marTop w:val="0"/>
      <w:marBottom w:val="0"/>
      <w:divBdr>
        <w:top w:val="none" w:sz="0" w:space="0" w:color="auto"/>
        <w:left w:val="none" w:sz="0" w:space="0" w:color="auto"/>
        <w:bottom w:val="none" w:sz="0" w:space="0" w:color="auto"/>
        <w:right w:val="none" w:sz="0" w:space="0" w:color="auto"/>
      </w:divBdr>
    </w:div>
    <w:div w:id="736245052">
      <w:bodyDiv w:val="1"/>
      <w:marLeft w:val="0"/>
      <w:marRight w:val="0"/>
      <w:marTop w:val="0"/>
      <w:marBottom w:val="0"/>
      <w:divBdr>
        <w:top w:val="none" w:sz="0" w:space="0" w:color="auto"/>
        <w:left w:val="none" w:sz="0" w:space="0" w:color="auto"/>
        <w:bottom w:val="none" w:sz="0" w:space="0" w:color="auto"/>
        <w:right w:val="none" w:sz="0" w:space="0" w:color="auto"/>
      </w:divBdr>
    </w:div>
    <w:div w:id="969289031">
      <w:bodyDiv w:val="1"/>
      <w:marLeft w:val="0"/>
      <w:marRight w:val="0"/>
      <w:marTop w:val="0"/>
      <w:marBottom w:val="0"/>
      <w:divBdr>
        <w:top w:val="none" w:sz="0" w:space="0" w:color="auto"/>
        <w:left w:val="none" w:sz="0" w:space="0" w:color="auto"/>
        <w:bottom w:val="none" w:sz="0" w:space="0" w:color="auto"/>
        <w:right w:val="none" w:sz="0" w:space="0" w:color="auto"/>
      </w:divBdr>
    </w:div>
    <w:div w:id="1019355835">
      <w:bodyDiv w:val="1"/>
      <w:marLeft w:val="0"/>
      <w:marRight w:val="0"/>
      <w:marTop w:val="0"/>
      <w:marBottom w:val="0"/>
      <w:divBdr>
        <w:top w:val="none" w:sz="0" w:space="0" w:color="auto"/>
        <w:left w:val="none" w:sz="0" w:space="0" w:color="auto"/>
        <w:bottom w:val="none" w:sz="0" w:space="0" w:color="auto"/>
        <w:right w:val="none" w:sz="0" w:space="0" w:color="auto"/>
      </w:divBdr>
    </w:div>
    <w:div w:id="1140735140">
      <w:bodyDiv w:val="1"/>
      <w:marLeft w:val="0"/>
      <w:marRight w:val="0"/>
      <w:marTop w:val="0"/>
      <w:marBottom w:val="0"/>
      <w:divBdr>
        <w:top w:val="none" w:sz="0" w:space="0" w:color="auto"/>
        <w:left w:val="none" w:sz="0" w:space="0" w:color="auto"/>
        <w:bottom w:val="none" w:sz="0" w:space="0" w:color="auto"/>
        <w:right w:val="none" w:sz="0" w:space="0" w:color="auto"/>
      </w:divBdr>
    </w:div>
    <w:div w:id="1998266117">
      <w:bodyDiv w:val="1"/>
      <w:marLeft w:val="0"/>
      <w:marRight w:val="0"/>
      <w:marTop w:val="0"/>
      <w:marBottom w:val="0"/>
      <w:divBdr>
        <w:top w:val="none" w:sz="0" w:space="0" w:color="auto"/>
        <w:left w:val="none" w:sz="0" w:space="0" w:color="auto"/>
        <w:bottom w:val="none" w:sz="0" w:space="0" w:color="auto"/>
        <w:right w:val="none" w:sz="0" w:space="0" w:color="auto"/>
      </w:divBdr>
    </w:div>
    <w:div w:id="2021274986">
      <w:bodyDiv w:val="1"/>
      <w:marLeft w:val="0"/>
      <w:marRight w:val="0"/>
      <w:marTop w:val="0"/>
      <w:marBottom w:val="0"/>
      <w:divBdr>
        <w:top w:val="none" w:sz="0" w:space="0" w:color="auto"/>
        <w:left w:val="none" w:sz="0" w:space="0" w:color="auto"/>
        <w:bottom w:val="none" w:sz="0" w:space="0" w:color="auto"/>
        <w:right w:val="none" w:sz="0" w:space="0" w:color="auto"/>
      </w:divBdr>
    </w:div>
    <w:div w:id="20312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translate.googleusercontent.com/translate_c?depth=1&amp;hl=es&amp;prev=search&amp;rurl=translate.google.com&amp;sl=en&amp;sp=nmt4&amp;u=https://en.m.wikipedia.org/wiki/Electronic_data_interchange&amp;xid=17259,1500000,15700019,15700186,15700190,15700256,15700259,15700262,15700265&amp;usg=ALkJrhgrEaqPEqMMxcpGGjA6bECYzODwMg" TargetMode="External"/><Relationship Id="rId20" Type="http://schemas.openxmlformats.org/officeDocument/2006/relationships/header" Target="head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ranslate.googleusercontent.com/translate_c?depth=1&amp;hl=es&amp;prev=search&amp;rurl=translate.google.com&amp;sl=en&amp;sp=nmt4&amp;u=https://en.m.wikipedia.org/wiki/Technical_standard&amp;xid=17259,1500000,15700019,15700186,15700190,15700256,15700259,15700262,15700265&amp;usg=ALkJrhgnjJdMy3OGBXpLlMZvRapRB7hwEg" TargetMode="Externa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BD4760BB26A004BA919B907FF4445BD" ma:contentTypeVersion="4" ma:contentTypeDescription="Crear nuevo documento." ma:contentTypeScope="" ma:versionID="7d751dbdec33b91ed5d95b52c8357b03">
  <xsd:schema xmlns:xsd="http://www.w3.org/2001/XMLSchema" xmlns:xs="http://www.w3.org/2001/XMLSchema" xmlns:p="http://schemas.microsoft.com/office/2006/metadata/properties" xmlns:ns2="4855a4d3-bcfc-4c2d-a8fb-9643f8c925a5" xmlns:ns3="7448cfd3-3e02-485f-a1de-68c2744d9501" targetNamespace="http://schemas.microsoft.com/office/2006/metadata/properties" ma:root="true" ma:fieldsID="08dad017d160aedb90446b4c53c698ba" ns2:_="" ns3:_="">
    <xsd:import namespace="4855a4d3-bcfc-4c2d-a8fb-9643f8c925a5"/>
    <xsd:import namespace="7448cfd3-3e02-485f-a1de-68c2744d95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5a4d3-bcfc-4c2d-a8fb-9643f8c92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8cfd3-3e02-485f-a1de-68c2744d950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91B49-E98A-4016-A6C0-5716A7E9CB11}">
  <ds:schemaRefs>
    <ds:schemaRef ds:uri="http://schemas.openxmlformats.org/officeDocument/2006/bibliography"/>
  </ds:schemaRefs>
</ds:datastoreItem>
</file>

<file path=customXml/itemProps2.xml><?xml version="1.0" encoding="utf-8"?>
<ds:datastoreItem xmlns:ds="http://schemas.openxmlformats.org/officeDocument/2006/customXml" ds:itemID="{D06853A0-8475-464A-9F52-356FDFC5C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5a4d3-bcfc-4c2d-a8fb-9643f8c925a5"/>
    <ds:schemaRef ds:uri="7448cfd3-3e02-485f-a1de-68c2744d9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CC8DC-670D-42C0-A727-7F4798C490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56C46-5A35-4DA2-8425-B34F1FF02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10494</Words>
  <Characters>57719</Characters>
  <Application>Microsoft Office Word</Application>
  <DocSecurity>0</DocSecurity>
  <Lines>480</Lines>
  <Paragraphs>136</Paragraphs>
  <ScaleCrop>false</ScaleCrop>
  <Company>Banco Central de Reserva</Company>
  <LinksUpToDate>false</LinksUpToDate>
  <CharactersWithSpaces>68077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José Herrera Coto</dc:creator>
  <cp:keywords/>
  <cp:lastModifiedBy>Carlos Antonio Cerritos Rosales</cp:lastModifiedBy>
  <cp:revision>3</cp:revision>
  <cp:lastPrinted>2022-10-12T22:41:00Z</cp:lastPrinted>
  <dcterms:created xsi:type="dcterms:W3CDTF">2023-02-21T16:49:00Z</dcterms:created>
  <dcterms:modified xsi:type="dcterms:W3CDTF">2023-02-21T16:49:00Z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0x0101009BD4760BB26A004BA919B907FF4445BD</vt:lpwstr>
  </property>
</Properties>
</file>